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F6B0" w14:textId="0D0F996C" w:rsidR="00A81DCD" w:rsidRPr="00501AD3" w:rsidRDefault="00A81DCD" w:rsidP="00534136">
      <w:pPr>
        <w:pStyle w:val="Caption"/>
        <w:jc w:val="center"/>
        <w:rPr>
          <w:rFonts w:ascii="Times New Roman" w:hAnsi="Times New Roman"/>
          <w:b/>
          <w:bCs/>
          <w:sz w:val="22"/>
          <w:szCs w:val="22"/>
        </w:rPr>
      </w:pPr>
      <w:r w:rsidRPr="00501AD3">
        <w:rPr>
          <w:rFonts w:ascii="Times New Roman" w:hAnsi="Times New Roman"/>
          <w:b/>
          <w:bCs/>
          <w:sz w:val="22"/>
          <w:szCs w:val="22"/>
        </w:rPr>
        <w:t>UNITED STATES</w:t>
      </w:r>
      <w:r w:rsidRPr="00501AD3">
        <w:rPr>
          <w:rFonts w:ascii="Times New Roman" w:hAnsi="Times New Roman"/>
          <w:b/>
          <w:bCs/>
          <w:sz w:val="22"/>
          <w:szCs w:val="22"/>
        </w:rPr>
        <w:br/>
        <w:t>SECURITIES AND EXCHANGE COMMISSION</w:t>
      </w:r>
    </w:p>
    <w:p w14:paraId="4E867B61" w14:textId="77777777" w:rsidR="00A81DCD" w:rsidRPr="00501AD3" w:rsidRDefault="00A81DCD" w:rsidP="00534136">
      <w:pPr>
        <w:pStyle w:val="Caption"/>
        <w:jc w:val="center"/>
        <w:rPr>
          <w:rFonts w:ascii="Times New Roman" w:hAnsi="Times New Roman"/>
          <w:b/>
          <w:bCs/>
          <w:sz w:val="22"/>
          <w:szCs w:val="22"/>
        </w:rPr>
      </w:pPr>
      <w:r w:rsidRPr="00501AD3">
        <w:rPr>
          <w:rFonts w:ascii="Times New Roman" w:hAnsi="Times New Roman"/>
          <w:b/>
          <w:bCs/>
          <w:sz w:val="22"/>
          <w:szCs w:val="22"/>
        </w:rPr>
        <w:t>WASHINGTON, D.C. 20549</w:t>
      </w:r>
    </w:p>
    <w:p w14:paraId="18380FFB" w14:textId="77777777" w:rsidR="00A81DCD" w:rsidRPr="00501AD3" w:rsidRDefault="00A81DCD" w:rsidP="00A81DCD">
      <w:pPr>
        <w:pStyle w:val="BodyText"/>
        <w:widowControl w:val="0"/>
        <w:suppressAutoHyphens/>
        <w:spacing w:line="200" w:lineRule="exact"/>
        <w:jc w:val="center"/>
        <w:rPr>
          <w:b/>
          <w:sz w:val="22"/>
          <w:szCs w:val="22"/>
        </w:rPr>
      </w:pPr>
    </w:p>
    <w:p w14:paraId="39C9DE8F" w14:textId="77777777" w:rsidR="00A81DCD" w:rsidRPr="00501AD3" w:rsidRDefault="00A81DCD" w:rsidP="00A81DCD">
      <w:pPr>
        <w:pStyle w:val="BodyText"/>
        <w:widowControl w:val="0"/>
        <w:suppressAutoHyphens/>
        <w:spacing w:line="240" w:lineRule="exact"/>
        <w:jc w:val="center"/>
        <w:rPr>
          <w:b/>
          <w:sz w:val="22"/>
          <w:szCs w:val="22"/>
        </w:rPr>
      </w:pPr>
      <w:r w:rsidRPr="00501AD3">
        <w:rPr>
          <w:b/>
          <w:sz w:val="22"/>
          <w:szCs w:val="22"/>
        </w:rPr>
        <w:t>FORM 10-K</w:t>
      </w:r>
    </w:p>
    <w:p w14:paraId="106BEDA4" w14:textId="77777777" w:rsidR="00A81DCD" w:rsidRPr="008B6E24" w:rsidRDefault="00A81DCD" w:rsidP="00A81DCD">
      <w:pPr>
        <w:tabs>
          <w:tab w:val="left" w:pos="-720"/>
        </w:tabs>
        <w:spacing w:line="200" w:lineRule="exact"/>
        <w:rPr>
          <w:sz w:val="22"/>
          <w:szCs w:val="22"/>
        </w:rPr>
      </w:pPr>
      <w:r w:rsidRPr="008B6E24">
        <w:rPr>
          <w:sz w:val="22"/>
          <w:szCs w:val="22"/>
        </w:rPr>
        <w:t>(Mark One)</w:t>
      </w:r>
    </w:p>
    <w:p w14:paraId="17887051" w14:textId="77777777" w:rsidR="00A81DCD" w:rsidRPr="00501AD3" w:rsidRDefault="00A81DCD" w:rsidP="00A81DCD">
      <w:pPr>
        <w:tabs>
          <w:tab w:val="left" w:pos="-720"/>
          <w:tab w:val="left" w:pos="9990"/>
        </w:tabs>
        <w:spacing w:line="200" w:lineRule="exact"/>
        <w:rPr>
          <w:smallCaps/>
          <w:sz w:val="22"/>
          <w:szCs w:val="22"/>
        </w:rPr>
      </w:pPr>
      <w:r w:rsidRPr="00501AD3">
        <w:rPr>
          <w:sz w:val="22"/>
          <w:szCs w:val="22"/>
        </w:rPr>
        <w:sym w:font="Wingdings" w:char="F0FE"/>
      </w:r>
      <w:r w:rsidRPr="00501AD3">
        <w:rPr>
          <w:sz w:val="22"/>
          <w:szCs w:val="22"/>
        </w:rPr>
        <w:t xml:space="preserve"> </w:t>
      </w:r>
      <w:r w:rsidRPr="00501AD3">
        <w:rPr>
          <w:smallCaps/>
          <w:sz w:val="22"/>
          <w:szCs w:val="22"/>
        </w:rPr>
        <w:t xml:space="preserve">   Annual report under section 13 or 15(</w:t>
      </w:r>
      <w:r w:rsidRPr="00501AD3">
        <w:rPr>
          <w:sz w:val="22"/>
          <w:szCs w:val="22"/>
        </w:rPr>
        <w:t>d</w:t>
      </w:r>
      <w:r w:rsidRPr="00501AD3">
        <w:rPr>
          <w:smallCaps/>
          <w:sz w:val="22"/>
          <w:szCs w:val="22"/>
        </w:rPr>
        <w:t xml:space="preserve">) of the securities exchange act of 1934 </w:t>
      </w:r>
    </w:p>
    <w:p w14:paraId="70819C2B" w14:textId="77777777" w:rsidR="00107A73" w:rsidRDefault="00107A73" w:rsidP="00A81DCD">
      <w:pPr>
        <w:tabs>
          <w:tab w:val="left" w:pos="-720"/>
        </w:tabs>
        <w:spacing w:line="200" w:lineRule="exact"/>
        <w:jc w:val="center"/>
        <w:outlineLvl w:val="0"/>
        <w:rPr>
          <w:b/>
          <w:sz w:val="22"/>
          <w:szCs w:val="22"/>
        </w:rPr>
      </w:pPr>
    </w:p>
    <w:p w14:paraId="68498EB1" w14:textId="37512072" w:rsidR="00A81DCD" w:rsidRPr="00501AD3" w:rsidRDefault="00A81DCD" w:rsidP="00A81DCD">
      <w:pPr>
        <w:tabs>
          <w:tab w:val="left" w:pos="-720"/>
        </w:tabs>
        <w:spacing w:line="200" w:lineRule="exact"/>
        <w:jc w:val="center"/>
        <w:outlineLvl w:val="0"/>
        <w:rPr>
          <w:b/>
          <w:sz w:val="22"/>
          <w:szCs w:val="22"/>
        </w:rPr>
      </w:pPr>
      <w:r w:rsidRPr="00501AD3">
        <w:rPr>
          <w:b/>
          <w:sz w:val="22"/>
          <w:szCs w:val="22"/>
        </w:rPr>
        <w:t xml:space="preserve">For the fiscal year ended </w:t>
      </w:r>
      <w:r w:rsidRPr="00501AD3">
        <w:rPr>
          <w:b/>
          <w:sz w:val="22"/>
          <w:szCs w:val="22"/>
          <w:u w:val="single"/>
        </w:rPr>
        <w:t xml:space="preserve">December 31, </w:t>
      </w:r>
      <w:r w:rsidR="003642BA" w:rsidRPr="00501AD3">
        <w:rPr>
          <w:b/>
          <w:sz w:val="22"/>
          <w:szCs w:val="22"/>
          <w:u w:val="single"/>
        </w:rPr>
        <w:t>2022</w:t>
      </w:r>
    </w:p>
    <w:p w14:paraId="68F41023" w14:textId="77777777" w:rsidR="00A81DCD" w:rsidRPr="00501AD3" w:rsidRDefault="00A81DCD" w:rsidP="00A81DCD">
      <w:pPr>
        <w:tabs>
          <w:tab w:val="left" w:pos="-720"/>
        </w:tabs>
        <w:spacing w:line="200" w:lineRule="exact"/>
        <w:rPr>
          <w:sz w:val="22"/>
          <w:szCs w:val="22"/>
        </w:rPr>
      </w:pPr>
    </w:p>
    <w:p w14:paraId="761C07DF" w14:textId="77777777" w:rsidR="00A81DCD" w:rsidRPr="00501AD3" w:rsidRDefault="00A81DCD" w:rsidP="00A81DCD">
      <w:pPr>
        <w:tabs>
          <w:tab w:val="left" w:pos="-720"/>
        </w:tabs>
        <w:spacing w:line="200" w:lineRule="exact"/>
        <w:rPr>
          <w:smallCaps/>
          <w:sz w:val="22"/>
          <w:szCs w:val="22"/>
        </w:rPr>
      </w:pPr>
      <w:r w:rsidRPr="00501AD3">
        <w:rPr>
          <w:sz w:val="22"/>
          <w:szCs w:val="22"/>
        </w:rPr>
        <w:sym w:font="Wingdings" w:char="F06F"/>
      </w:r>
      <w:r w:rsidRPr="00501AD3">
        <w:rPr>
          <w:sz w:val="22"/>
          <w:szCs w:val="22"/>
        </w:rPr>
        <w:t xml:space="preserve">   </w:t>
      </w:r>
      <w:r w:rsidRPr="00501AD3">
        <w:rPr>
          <w:smallCaps/>
          <w:sz w:val="22"/>
          <w:szCs w:val="22"/>
        </w:rPr>
        <w:t>Transition report under section 13 or 15</w:t>
      </w:r>
      <w:r w:rsidRPr="00501AD3">
        <w:rPr>
          <w:sz w:val="22"/>
          <w:szCs w:val="22"/>
        </w:rPr>
        <w:t>(d</w:t>
      </w:r>
      <w:r w:rsidRPr="00501AD3">
        <w:rPr>
          <w:smallCaps/>
          <w:sz w:val="22"/>
          <w:szCs w:val="22"/>
        </w:rPr>
        <w:t xml:space="preserve">) of the securities exchange act of 1934 </w:t>
      </w:r>
    </w:p>
    <w:p w14:paraId="2C66EB33" w14:textId="77777777" w:rsidR="00A81DCD" w:rsidRPr="00501AD3" w:rsidRDefault="00A81DCD" w:rsidP="00A81DCD">
      <w:pPr>
        <w:tabs>
          <w:tab w:val="left" w:pos="-720"/>
        </w:tabs>
        <w:spacing w:line="200" w:lineRule="exact"/>
        <w:rPr>
          <w:b/>
          <w:sz w:val="22"/>
          <w:szCs w:val="22"/>
        </w:rPr>
      </w:pPr>
    </w:p>
    <w:p w14:paraId="0359E0AB" w14:textId="4DC7408C" w:rsidR="00A81DCD" w:rsidRPr="00501AD3" w:rsidRDefault="00A81DCD" w:rsidP="00D07103">
      <w:pPr>
        <w:tabs>
          <w:tab w:val="left" w:pos="-720"/>
          <w:tab w:val="left" w:pos="4440"/>
        </w:tabs>
        <w:spacing w:line="200" w:lineRule="exact"/>
        <w:jc w:val="center"/>
        <w:outlineLvl w:val="0"/>
        <w:rPr>
          <w:b/>
          <w:sz w:val="22"/>
          <w:szCs w:val="22"/>
        </w:rPr>
      </w:pPr>
      <w:r w:rsidRPr="00501AD3">
        <w:rPr>
          <w:b/>
          <w:sz w:val="22"/>
          <w:szCs w:val="22"/>
        </w:rPr>
        <w:t>Commission file number 001-35774</w:t>
      </w:r>
    </w:p>
    <w:p w14:paraId="2A0CAB22" w14:textId="77777777" w:rsidR="00A81DCD" w:rsidRPr="00501AD3" w:rsidRDefault="00A81DCD" w:rsidP="00A81DCD">
      <w:pPr>
        <w:tabs>
          <w:tab w:val="left" w:pos="-720"/>
        </w:tabs>
        <w:spacing w:line="200" w:lineRule="exact"/>
        <w:outlineLvl w:val="0"/>
        <w:rPr>
          <w:sz w:val="22"/>
          <w:szCs w:val="22"/>
        </w:rPr>
      </w:pPr>
    </w:p>
    <w:p w14:paraId="430DF4DE" w14:textId="77777777" w:rsidR="00A81DCD" w:rsidRPr="00501AD3" w:rsidRDefault="00A81DCD" w:rsidP="00A81DCD">
      <w:pPr>
        <w:tabs>
          <w:tab w:val="left" w:pos="-720"/>
        </w:tabs>
        <w:spacing w:line="210" w:lineRule="exact"/>
        <w:jc w:val="center"/>
        <w:outlineLvl w:val="0"/>
        <w:rPr>
          <w:b/>
          <w:sz w:val="22"/>
          <w:szCs w:val="22"/>
        </w:rPr>
      </w:pPr>
    </w:p>
    <w:p w14:paraId="0977C75D" w14:textId="77777777" w:rsidR="00A81DCD" w:rsidRPr="00501AD3" w:rsidRDefault="00A81DCD" w:rsidP="00A81DCD">
      <w:pPr>
        <w:tabs>
          <w:tab w:val="left" w:pos="-720"/>
        </w:tabs>
        <w:spacing w:line="210" w:lineRule="exact"/>
        <w:jc w:val="center"/>
        <w:outlineLvl w:val="0"/>
        <w:rPr>
          <w:sz w:val="22"/>
          <w:szCs w:val="22"/>
        </w:rPr>
      </w:pPr>
      <w:r w:rsidRPr="00501AD3">
        <w:rPr>
          <w:b/>
          <w:sz w:val="22"/>
          <w:szCs w:val="22"/>
        </w:rPr>
        <w:t>INNODATA INC.</w:t>
      </w:r>
    </w:p>
    <w:p w14:paraId="5327DEAD" w14:textId="77777777" w:rsidR="00A81DCD" w:rsidRPr="00501AD3" w:rsidRDefault="00A81DCD" w:rsidP="00A81DCD">
      <w:pPr>
        <w:tabs>
          <w:tab w:val="left" w:pos="-720"/>
        </w:tabs>
        <w:spacing w:line="210" w:lineRule="exact"/>
        <w:jc w:val="center"/>
        <w:rPr>
          <w:sz w:val="22"/>
          <w:szCs w:val="22"/>
        </w:rPr>
      </w:pPr>
      <w:r w:rsidRPr="00501AD3">
        <w:rPr>
          <w:sz w:val="22"/>
          <w:szCs w:val="22"/>
        </w:rPr>
        <w:t>(Exact name of registrant as specified in its charter)</w:t>
      </w:r>
      <w:r w:rsidRPr="00501AD3">
        <w:rPr>
          <w:sz w:val="22"/>
          <w:szCs w:val="22"/>
        </w:rPr>
        <w:br/>
      </w:r>
    </w:p>
    <w:tbl>
      <w:tblPr>
        <w:tblW w:w="10188" w:type="dxa"/>
        <w:tblLayout w:type="fixed"/>
        <w:tblLook w:val="0000" w:firstRow="0" w:lastRow="0" w:firstColumn="0" w:lastColumn="0" w:noHBand="0" w:noVBand="0"/>
      </w:tblPr>
      <w:tblGrid>
        <w:gridCol w:w="5508"/>
        <w:gridCol w:w="4680"/>
      </w:tblGrid>
      <w:tr w:rsidR="009E3590" w:rsidRPr="00867AD0" w14:paraId="7F5110BB" w14:textId="77777777" w:rsidTr="00A71198">
        <w:tc>
          <w:tcPr>
            <w:tcW w:w="5508" w:type="dxa"/>
          </w:tcPr>
          <w:p w14:paraId="3B966CE9" w14:textId="77777777" w:rsidR="00A81DCD" w:rsidRPr="00501AD3" w:rsidRDefault="00A81DCD" w:rsidP="00A71198">
            <w:pPr>
              <w:jc w:val="center"/>
              <w:rPr>
                <w:sz w:val="22"/>
                <w:szCs w:val="22"/>
              </w:rPr>
            </w:pPr>
            <w:r w:rsidRPr="00501AD3">
              <w:rPr>
                <w:b/>
                <w:sz w:val="22"/>
                <w:szCs w:val="22"/>
              </w:rPr>
              <w:t>Delaware</w:t>
            </w:r>
          </w:p>
        </w:tc>
        <w:tc>
          <w:tcPr>
            <w:tcW w:w="4680" w:type="dxa"/>
          </w:tcPr>
          <w:p w14:paraId="14DD0D39" w14:textId="77777777" w:rsidR="00A81DCD" w:rsidRPr="00501AD3" w:rsidRDefault="00A81DCD" w:rsidP="00A71198">
            <w:pPr>
              <w:jc w:val="center"/>
              <w:rPr>
                <w:sz w:val="22"/>
                <w:szCs w:val="22"/>
              </w:rPr>
            </w:pPr>
            <w:r w:rsidRPr="00501AD3">
              <w:rPr>
                <w:b/>
                <w:sz w:val="22"/>
                <w:szCs w:val="22"/>
              </w:rPr>
              <w:t>13-3475943</w:t>
            </w:r>
          </w:p>
        </w:tc>
      </w:tr>
      <w:tr w:rsidR="009E3590" w:rsidRPr="00867AD0" w14:paraId="68457C88" w14:textId="77777777" w:rsidTr="00A71198">
        <w:tc>
          <w:tcPr>
            <w:tcW w:w="5508" w:type="dxa"/>
          </w:tcPr>
          <w:p w14:paraId="63FBCBA5" w14:textId="77777777" w:rsidR="00A81DCD" w:rsidRPr="00501AD3" w:rsidRDefault="00A81DCD" w:rsidP="00A71198">
            <w:pPr>
              <w:jc w:val="center"/>
              <w:rPr>
                <w:sz w:val="22"/>
                <w:szCs w:val="22"/>
              </w:rPr>
            </w:pPr>
            <w:r w:rsidRPr="00501AD3">
              <w:rPr>
                <w:sz w:val="22"/>
                <w:szCs w:val="22"/>
              </w:rPr>
              <w:t xml:space="preserve"> (State or other jurisdiction of </w:t>
            </w:r>
          </w:p>
        </w:tc>
        <w:tc>
          <w:tcPr>
            <w:tcW w:w="4680" w:type="dxa"/>
          </w:tcPr>
          <w:p w14:paraId="4DC06091" w14:textId="77777777" w:rsidR="00A81DCD" w:rsidRPr="00501AD3" w:rsidRDefault="00A81DCD" w:rsidP="00A71198">
            <w:pPr>
              <w:jc w:val="center"/>
              <w:rPr>
                <w:sz w:val="22"/>
                <w:szCs w:val="22"/>
              </w:rPr>
            </w:pPr>
            <w:r w:rsidRPr="00501AD3">
              <w:rPr>
                <w:sz w:val="22"/>
                <w:szCs w:val="22"/>
              </w:rPr>
              <w:t>(I.R.S. Employer Identification No.)</w:t>
            </w:r>
          </w:p>
        </w:tc>
      </w:tr>
      <w:tr w:rsidR="009E3590" w:rsidRPr="00867AD0" w14:paraId="3C4127E0" w14:textId="77777777" w:rsidTr="00A71198">
        <w:tc>
          <w:tcPr>
            <w:tcW w:w="5508" w:type="dxa"/>
          </w:tcPr>
          <w:p w14:paraId="4CC74FC9" w14:textId="77777777" w:rsidR="00A81DCD" w:rsidRPr="00501AD3" w:rsidRDefault="00A81DCD" w:rsidP="00A71198">
            <w:pPr>
              <w:jc w:val="center"/>
              <w:rPr>
                <w:sz w:val="22"/>
                <w:szCs w:val="22"/>
              </w:rPr>
            </w:pPr>
            <w:r w:rsidRPr="00501AD3">
              <w:rPr>
                <w:sz w:val="22"/>
                <w:szCs w:val="22"/>
              </w:rPr>
              <w:t>incorporation or organization)</w:t>
            </w:r>
          </w:p>
        </w:tc>
        <w:tc>
          <w:tcPr>
            <w:tcW w:w="4680" w:type="dxa"/>
          </w:tcPr>
          <w:p w14:paraId="154CBED1" w14:textId="77777777" w:rsidR="00A81DCD" w:rsidRPr="00501AD3" w:rsidRDefault="00A81DCD" w:rsidP="00A71198">
            <w:pPr>
              <w:jc w:val="center"/>
              <w:rPr>
                <w:sz w:val="22"/>
                <w:szCs w:val="22"/>
              </w:rPr>
            </w:pPr>
          </w:p>
        </w:tc>
      </w:tr>
      <w:tr w:rsidR="009E3590" w:rsidRPr="00867AD0" w14:paraId="7386F9A9" w14:textId="77777777" w:rsidTr="00A71198">
        <w:tc>
          <w:tcPr>
            <w:tcW w:w="5508" w:type="dxa"/>
          </w:tcPr>
          <w:p w14:paraId="2AA38EF3" w14:textId="77777777" w:rsidR="00A81DCD" w:rsidRPr="00501AD3" w:rsidRDefault="00A81DCD" w:rsidP="00A71198">
            <w:pPr>
              <w:jc w:val="center"/>
              <w:rPr>
                <w:sz w:val="22"/>
                <w:szCs w:val="22"/>
              </w:rPr>
            </w:pPr>
          </w:p>
        </w:tc>
        <w:tc>
          <w:tcPr>
            <w:tcW w:w="4680" w:type="dxa"/>
          </w:tcPr>
          <w:p w14:paraId="5FAFBA32" w14:textId="77777777" w:rsidR="00A81DCD" w:rsidRPr="00501AD3" w:rsidRDefault="00A81DCD" w:rsidP="00A71198">
            <w:pPr>
              <w:jc w:val="center"/>
              <w:rPr>
                <w:sz w:val="22"/>
                <w:szCs w:val="22"/>
              </w:rPr>
            </w:pPr>
          </w:p>
        </w:tc>
      </w:tr>
      <w:tr w:rsidR="009E3590" w:rsidRPr="00867AD0" w14:paraId="1AC3EFDF" w14:textId="77777777" w:rsidTr="00A71198">
        <w:tc>
          <w:tcPr>
            <w:tcW w:w="5508" w:type="dxa"/>
          </w:tcPr>
          <w:p w14:paraId="1C24BF02" w14:textId="77777777" w:rsidR="00A81DCD" w:rsidRPr="00501AD3" w:rsidRDefault="00A81DCD" w:rsidP="00A71198">
            <w:pPr>
              <w:jc w:val="center"/>
              <w:rPr>
                <w:sz w:val="22"/>
                <w:szCs w:val="22"/>
              </w:rPr>
            </w:pPr>
            <w:r w:rsidRPr="00501AD3">
              <w:rPr>
                <w:b/>
                <w:sz w:val="22"/>
                <w:szCs w:val="22"/>
              </w:rPr>
              <w:t>55 Challenger Road</w:t>
            </w:r>
          </w:p>
        </w:tc>
        <w:tc>
          <w:tcPr>
            <w:tcW w:w="4680" w:type="dxa"/>
          </w:tcPr>
          <w:p w14:paraId="48C077E2" w14:textId="77777777" w:rsidR="00A81DCD" w:rsidRPr="00501AD3" w:rsidRDefault="00A81DCD" w:rsidP="00A71198">
            <w:pPr>
              <w:jc w:val="center"/>
              <w:rPr>
                <w:sz w:val="22"/>
                <w:szCs w:val="22"/>
              </w:rPr>
            </w:pPr>
          </w:p>
        </w:tc>
      </w:tr>
      <w:tr w:rsidR="009E3590" w:rsidRPr="00867AD0" w14:paraId="733769FE" w14:textId="77777777" w:rsidTr="00A71198">
        <w:tc>
          <w:tcPr>
            <w:tcW w:w="5508" w:type="dxa"/>
          </w:tcPr>
          <w:p w14:paraId="69D5FE86" w14:textId="77777777" w:rsidR="00A81DCD" w:rsidRPr="00501AD3" w:rsidRDefault="00A81DCD" w:rsidP="00A71198">
            <w:pPr>
              <w:jc w:val="center"/>
              <w:rPr>
                <w:sz w:val="22"/>
                <w:szCs w:val="22"/>
              </w:rPr>
            </w:pPr>
            <w:r w:rsidRPr="00501AD3">
              <w:rPr>
                <w:b/>
                <w:sz w:val="22"/>
                <w:szCs w:val="22"/>
              </w:rPr>
              <w:t>Ridgefield Park, New Jersey</w:t>
            </w:r>
          </w:p>
        </w:tc>
        <w:tc>
          <w:tcPr>
            <w:tcW w:w="4680" w:type="dxa"/>
          </w:tcPr>
          <w:p w14:paraId="51924394" w14:textId="77777777" w:rsidR="00A81DCD" w:rsidRPr="00501AD3" w:rsidRDefault="00A81DCD" w:rsidP="00A71198">
            <w:pPr>
              <w:jc w:val="center"/>
              <w:rPr>
                <w:sz w:val="22"/>
                <w:szCs w:val="22"/>
              </w:rPr>
            </w:pPr>
            <w:r w:rsidRPr="00501AD3">
              <w:rPr>
                <w:b/>
                <w:sz w:val="22"/>
                <w:szCs w:val="22"/>
              </w:rPr>
              <w:t>07660</w:t>
            </w:r>
          </w:p>
        </w:tc>
      </w:tr>
      <w:tr w:rsidR="009E3590" w:rsidRPr="00867AD0" w14:paraId="0B418B31" w14:textId="77777777" w:rsidTr="00A71198">
        <w:tc>
          <w:tcPr>
            <w:tcW w:w="5508" w:type="dxa"/>
          </w:tcPr>
          <w:p w14:paraId="2FEA1E53" w14:textId="77777777" w:rsidR="00A81DCD" w:rsidRPr="00501AD3" w:rsidRDefault="00A81DCD" w:rsidP="00A71198">
            <w:pPr>
              <w:jc w:val="center"/>
              <w:rPr>
                <w:sz w:val="22"/>
                <w:szCs w:val="22"/>
              </w:rPr>
            </w:pPr>
            <w:r w:rsidRPr="00501AD3">
              <w:rPr>
                <w:sz w:val="22"/>
                <w:szCs w:val="22"/>
              </w:rPr>
              <w:t xml:space="preserve"> (Address of principal executive offices) </w:t>
            </w:r>
          </w:p>
        </w:tc>
        <w:tc>
          <w:tcPr>
            <w:tcW w:w="4680" w:type="dxa"/>
          </w:tcPr>
          <w:p w14:paraId="439A231B" w14:textId="77777777" w:rsidR="00A81DCD" w:rsidRPr="00501AD3" w:rsidRDefault="00A81DCD" w:rsidP="00A71198">
            <w:pPr>
              <w:jc w:val="center"/>
              <w:rPr>
                <w:sz w:val="22"/>
                <w:szCs w:val="22"/>
              </w:rPr>
            </w:pPr>
            <w:r w:rsidRPr="00501AD3">
              <w:rPr>
                <w:sz w:val="22"/>
                <w:szCs w:val="22"/>
              </w:rPr>
              <w:t>(Zip Code)</w:t>
            </w:r>
          </w:p>
        </w:tc>
      </w:tr>
      <w:tr w:rsidR="009E3590" w:rsidRPr="00867AD0" w14:paraId="3533FB99" w14:textId="77777777" w:rsidTr="00A71198">
        <w:tc>
          <w:tcPr>
            <w:tcW w:w="5508" w:type="dxa"/>
          </w:tcPr>
          <w:p w14:paraId="6C859C1B" w14:textId="77777777" w:rsidR="00A81DCD" w:rsidRPr="00501AD3" w:rsidRDefault="00A81DCD" w:rsidP="00A71198">
            <w:pPr>
              <w:jc w:val="center"/>
              <w:rPr>
                <w:b/>
                <w:sz w:val="22"/>
                <w:szCs w:val="22"/>
              </w:rPr>
            </w:pPr>
          </w:p>
        </w:tc>
        <w:tc>
          <w:tcPr>
            <w:tcW w:w="4680" w:type="dxa"/>
          </w:tcPr>
          <w:p w14:paraId="5CC2B8AF" w14:textId="77777777" w:rsidR="00A81DCD" w:rsidRPr="00501AD3" w:rsidRDefault="00A81DCD" w:rsidP="00A71198">
            <w:pPr>
              <w:jc w:val="center"/>
              <w:rPr>
                <w:b/>
                <w:sz w:val="22"/>
                <w:szCs w:val="22"/>
              </w:rPr>
            </w:pPr>
          </w:p>
        </w:tc>
      </w:tr>
      <w:tr w:rsidR="009E3590" w:rsidRPr="00867AD0" w14:paraId="38DD5078" w14:textId="77777777" w:rsidTr="00D07103">
        <w:trPr>
          <w:trHeight w:val="437"/>
        </w:trPr>
        <w:tc>
          <w:tcPr>
            <w:tcW w:w="10188" w:type="dxa"/>
            <w:gridSpan w:val="2"/>
          </w:tcPr>
          <w:p w14:paraId="747F2B56" w14:textId="77777777" w:rsidR="00D07103" w:rsidRPr="00501AD3" w:rsidRDefault="00D07103" w:rsidP="00D07103">
            <w:pPr>
              <w:jc w:val="center"/>
              <w:rPr>
                <w:b/>
                <w:sz w:val="22"/>
                <w:szCs w:val="22"/>
              </w:rPr>
            </w:pPr>
            <w:r w:rsidRPr="00501AD3">
              <w:rPr>
                <w:b/>
                <w:sz w:val="22"/>
                <w:szCs w:val="22"/>
              </w:rPr>
              <w:t>(201) 371-8000</w:t>
            </w:r>
          </w:p>
          <w:p w14:paraId="31E4FD7C" w14:textId="4DAE86A4" w:rsidR="00D07103" w:rsidRPr="00501AD3" w:rsidRDefault="00D07103" w:rsidP="00D07103">
            <w:pPr>
              <w:jc w:val="center"/>
              <w:rPr>
                <w:b/>
                <w:sz w:val="22"/>
                <w:szCs w:val="22"/>
              </w:rPr>
            </w:pPr>
            <w:r w:rsidRPr="00501AD3">
              <w:rPr>
                <w:sz w:val="22"/>
                <w:szCs w:val="22"/>
              </w:rPr>
              <w:t>(Registrant's telephone number)</w:t>
            </w:r>
          </w:p>
        </w:tc>
      </w:tr>
    </w:tbl>
    <w:p w14:paraId="7F641112" w14:textId="77777777" w:rsidR="006E05EA" w:rsidRDefault="006E05EA" w:rsidP="00A81DCD">
      <w:pPr>
        <w:tabs>
          <w:tab w:val="left" w:pos="-720"/>
        </w:tabs>
        <w:spacing w:line="200" w:lineRule="exact"/>
        <w:jc w:val="center"/>
        <w:outlineLvl w:val="0"/>
        <w:rPr>
          <w:sz w:val="22"/>
          <w:szCs w:val="22"/>
        </w:rPr>
      </w:pPr>
    </w:p>
    <w:p w14:paraId="478D24D9" w14:textId="77777777" w:rsidR="006E05EA" w:rsidRDefault="006E05EA" w:rsidP="00C83FFE">
      <w:pPr>
        <w:tabs>
          <w:tab w:val="left" w:pos="-720"/>
        </w:tabs>
        <w:spacing w:line="200" w:lineRule="exact"/>
        <w:outlineLvl w:val="0"/>
        <w:rPr>
          <w:sz w:val="22"/>
          <w:szCs w:val="22"/>
        </w:rPr>
      </w:pPr>
      <w:r w:rsidRPr="00501AD3">
        <w:rPr>
          <w:sz w:val="22"/>
          <w:szCs w:val="22"/>
        </w:rPr>
        <w:t>Securities registered under Section 12(b) of the Exchange Act:</w:t>
      </w:r>
    </w:p>
    <w:p w14:paraId="6E8F266B" w14:textId="6F9F264C" w:rsidR="00A81DCD" w:rsidRPr="00501AD3" w:rsidRDefault="00A81DCD" w:rsidP="00A81DCD">
      <w:pPr>
        <w:tabs>
          <w:tab w:val="left" w:pos="-720"/>
        </w:tabs>
        <w:spacing w:line="200" w:lineRule="exact"/>
        <w:jc w:val="center"/>
        <w:outlineLvl w:val="0"/>
        <w:rPr>
          <w:sz w:val="22"/>
          <w:szCs w:val="22"/>
        </w:rPr>
      </w:pPr>
      <w:r w:rsidRPr="00501AD3">
        <w:rPr>
          <w:sz w:val="22"/>
          <w:szCs w:val="22"/>
        </w:rPr>
        <w:tab/>
      </w:r>
      <w:r w:rsidRPr="00501AD3">
        <w:rPr>
          <w:sz w:val="22"/>
          <w:szCs w:val="22"/>
        </w:rPr>
        <w:tab/>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703"/>
        <w:gridCol w:w="4410"/>
      </w:tblGrid>
      <w:tr w:rsidR="006E05EA" w:rsidRPr="00867AD0" w14:paraId="7A3D621D" w14:textId="77777777" w:rsidTr="006E05EA">
        <w:trPr>
          <w:trHeight w:val="487"/>
          <w:jc w:val="center"/>
        </w:trPr>
        <w:tc>
          <w:tcPr>
            <w:tcW w:w="2619" w:type="dxa"/>
            <w:shd w:val="clear" w:color="auto" w:fill="auto"/>
          </w:tcPr>
          <w:p w14:paraId="13922DA9" w14:textId="77777777" w:rsidR="00D07103" w:rsidRPr="00501AD3" w:rsidRDefault="00D07103" w:rsidP="00D07103">
            <w:pPr>
              <w:spacing w:line="240" w:lineRule="exact"/>
              <w:ind w:right="444"/>
              <w:jc w:val="center"/>
              <w:rPr>
                <w:b/>
                <w:sz w:val="22"/>
                <w:szCs w:val="22"/>
                <w:lang w:bidi="he-IL"/>
              </w:rPr>
            </w:pPr>
            <w:r w:rsidRPr="00501AD3">
              <w:rPr>
                <w:b/>
                <w:sz w:val="22"/>
                <w:szCs w:val="22"/>
                <w:lang w:bidi="he-IL"/>
              </w:rPr>
              <w:t>Title of each class</w:t>
            </w:r>
          </w:p>
        </w:tc>
        <w:tc>
          <w:tcPr>
            <w:tcW w:w="2703" w:type="dxa"/>
            <w:shd w:val="clear" w:color="auto" w:fill="auto"/>
          </w:tcPr>
          <w:p w14:paraId="69EE7453" w14:textId="77777777" w:rsidR="00D07103" w:rsidRPr="00501AD3" w:rsidRDefault="00D07103" w:rsidP="00D07103">
            <w:pPr>
              <w:spacing w:line="240" w:lineRule="exact"/>
              <w:ind w:right="444"/>
              <w:jc w:val="center"/>
              <w:rPr>
                <w:b/>
                <w:sz w:val="22"/>
                <w:szCs w:val="22"/>
                <w:lang w:bidi="he-IL"/>
              </w:rPr>
            </w:pPr>
            <w:r w:rsidRPr="00501AD3">
              <w:rPr>
                <w:b/>
                <w:sz w:val="22"/>
                <w:szCs w:val="22"/>
                <w:lang w:bidi="he-IL"/>
              </w:rPr>
              <w:t>Trading Symbol(s)</w:t>
            </w:r>
          </w:p>
        </w:tc>
        <w:tc>
          <w:tcPr>
            <w:tcW w:w="4410" w:type="dxa"/>
            <w:shd w:val="clear" w:color="auto" w:fill="auto"/>
          </w:tcPr>
          <w:p w14:paraId="7BF17C60" w14:textId="77777777" w:rsidR="00D07103" w:rsidRPr="00501AD3" w:rsidRDefault="00D07103" w:rsidP="00D07103">
            <w:pPr>
              <w:spacing w:line="240" w:lineRule="exact"/>
              <w:ind w:right="444"/>
              <w:jc w:val="center"/>
              <w:rPr>
                <w:b/>
                <w:sz w:val="22"/>
                <w:szCs w:val="22"/>
                <w:lang w:bidi="he-IL"/>
              </w:rPr>
            </w:pPr>
            <w:r w:rsidRPr="00501AD3">
              <w:rPr>
                <w:b/>
                <w:sz w:val="22"/>
                <w:szCs w:val="22"/>
                <w:lang w:bidi="he-IL"/>
              </w:rPr>
              <w:t>Name of each exchange on which registered</w:t>
            </w:r>
          </w:p>
        </w:tc>
      </w:tr>
      <w:tr w:rsidR="006E05EA" w:rsidRPr="00867AD0" w14:paraId="6ADA897C" w14:textId="77777777" w:rsidTr="006E05EA">
        <w:trPr>
          <w:trHeight w:val="254"/>
          <w:jc w:val="center"/>
        </w:trPr>
        <w:tc>
          <w:tcPr>
            <w:tcW w:w="2619" w:type="dxa"/>
            <w:shd w:val="clear" w:color="auto" w:fill="auto"/>
          </w:tcPr>
          <w:p w14:paraId="1FE9DA77" w14:textId="77777777" w:rsidR="00D07103" w:rsidRPr="00501AD3" w:rsidRDefault="00D07103" w:rsidP="00D07103">
            <w:pPr>
              <w:spacing w:line="240" w:lineRule="exact"/>
              <w:ind w:right="444"/>
              <w:jc w:val="center"/>
              <w:rPr>
                <w:sz w:val="22"/>
                <w:szCs w:val="22"/>
                <w:lang w:bidi="he-IL"/>
              </w:rPr>
            </w:pPr>
            <w:r w:rsidRPr="00501AD3">
              <w:rPr>
                <w:sz w:val="22"/>
                <w:szCs w:val="22"/>
                <w:lang w:bidi="he-IL"/>
              </w:rPr>
              <w:t xml:space="preserve">Common Stock </w:t>
            </w:r>
          </w:p>
        </w:tc>
        <w:tc>
          <w:tcPr>
            <w:tcW w:w="2703" w:type="dxa"/>
            <w:shd w:val="clear" w:color="auto" w:fill="auto"/>
          </w:tcPr>
          <w:p w14:paraId="696EB84E" w14:textId="77777777" w:rsidR="00D07103" w:rsidRPr="00501AD3" w:rsidRDefault="00D07103" w:rsidP="00D07103">
            <w:pPr>
              <w:spacing w:line="240" w:lineRule="exact"/>
              <w:ind w:right="444"/>
              <w:jc w:val="center"/>
              <w:rPr>
                <w:sz w:val="22"/>
                <w:szCs w:val="22"/>
                <w:lang w:bidi="he-IL"/>
              </w:rPr>
            </w:pPr>
            <w:r w:rsidRPr="00501AD3">
              <w:rPr>
                <w:sz w:val="22"/>
                <w:szCs w:val="22"/>
                <w:lang w:bidi="he-IL"/>
              </w:rPr>
              <w:t xml:space="preserve">INOD </w:t>
            </w:r>
          </w:p>
        </w:tc>
        <w:tc>
          <w:tcPr>
            <w:tcW w:w="4410" w:type="dxa"/>
            <w:shd w:val="clear" w:color="auto" w:fill="auto"/>
          </w:tcPr>
          <w:p w14:paraId="57A18790" w14:textId="63E9A845" w:rsidR="00D07103" w:rsidRPr="00501AD3" w:rsidRDefault="00953BB1" w:rsidP="00D07103">
            <w:pPr>
              <w:spacing w:line="240" w:lineRule="exact"/>
              <w:ind w:right="444"/>
              <w:jc w:val="center"/>
              <w:rPr>
                <w:sz w:val="22"/>
                <w:szCs w:val="22"/>
                <w:lang w:bidi="he-IL"/>
              </w:rPr>
            </w:pPr>
            <w:r w:rsidRPr="00501AD3">
              <w:rPr>
                <w:sz w:val="22"/>
                <w:szCs w:val="22"/>
                <w:lang w:bidi="he-IL"/>
              </w:rPr>
              <w:t xml:space="preserve">The </w:t>
            </w:r>
            <w:r w:rsidR="00D07103" w:rsidRPr="00501AD3">
              <w:rPr>
                <w:sz w:val="22"/>
                <w:szCs w:val="22"/>
                <w:lang w:bidi="he-IL"/>
              </w:rPr>
              <w:t>NASDAQ</w:t>
            </w:r>
            <w:r w:rsidRPr="00501AD3">
              <w:rPr>
                <w:sz w:val="22"/>
                <w:szCs w:val="22"/>
                <w:lang w:bidi="he-IL"/>
              </w:rPr>
              <w:t xml:space="preserve"> Stock Market LLC</w:t>
            </w:r>
          </w:p>
        </w:tc>
      </w:tr>
    </w:tbl>
    <w:p w14:paraId="212DBBB7" w14:textId="77777777" w:rsidR="00D07103" w:rsidRPr="00501AD3" w:rsidRDefault="00D07103" w:rsidP="00D07103">
      <w:pPr>
        <w:suppressAutoHyphens/>
        <w:ind w:right="444"/>
        <w:jc w:val="center"/>
        <w:rPr>
          <w:sz w:val="22"/>
          <w:szCs w:val="22"/>
          <w:lang w:bidi="he-IL"/>
        </w:rPr>
      </w:pPr>
    </w:p>
    <w:p w14:paraId="45C458AA" w14:textId="6A64C728" w:rsidR="00A81DCD" w:rsidRPr="00501AD3" w:rsidRDefault="00A81DCD" w:rsidP="00A81DCD">
      <w:pPr>
        <w:tabs>
          <w:tab w:val="left" w:pos="-720"/>
        </w:tabs>
        <w:spacing w:line="200" w:lineRule="exact"/>
        <w:outlineLvl w:val="0"/>
        <w:rPr>
          <w:sz w:val="22"/>
          <w:szCs w:val="22"/>
        </w:rPr>
      </w:pPr>
      <w:r w:rsidRPr="00501AD3">
        <w:rPr>
          <w:sz w:val="22"/>
          <w:szCs w:val="22"/>
        </w:rPr>
        <w:t>Securities registered under Section 12(g) of the Exchange Act:</w:t>
      </w:r>
      <w:r w:rsidRPr="00501AD3">
        <w:rPr>
          <w:sz w:val="22"/>
          <w:szCs w:val="22"/>
        </w:rPr>
        <w:tab/>
      </w:r>
      <w:r w:rsidRPr="00501AD3">
        <w:rPr>
          <w:b/>
          <w:sz w:val="22"/>
          <w:szCs w:val="22"/>
        </w:rPr>
        <w:tab/>
      </w:r>
      <w:r w:rsidR="00413641" w:rsidRPr="00501AD3">
        <w:rPr>
          <w:b/>
          <w:sz w:val="22"/>
          <w:szCs w:val="22"/>
        </w:rPr>
        <w:t xml:space="preserve">   </w:t>
      </w:r>
      <w:r w:rsidRPr="00501AD3">
        <w:rPr>
          <w:sz w:val="22"/>
          <w:szCs w:val="22"/>
        </w:rPr>
        <w:t>None</w:t>
      </w:r>
    </w:p>
    <w:p w14:paraId="37394A2F" w14:textId="77777777" w:rsidR="005D59AA" w:rsidRPr="00501AD3" w:rsidRDefault="005D59AA" w:rsidP="00A81DCD">
      <w:pPr>
        <w:tabs>
          <w:tab w:val="left" w:pos="-720"/>
        </w:tabs>
        <w:spacing w:line="200" w:lineRule="exact"/>
        <w:outlineLvl w:val="0"/>
        <w:rPr>
          <w:sz w:val="22"/>
          <w:szCs w:val="22"/>
        </w:rPr>
      </w:pPr>
    </w:p>
    <w:p w14:paraId="0BB127B3" w14:textId="77777777" w:rsidR="00A81DCD" w:rsidRPr="00501AD3" w:rsidRDefault="00A81DCD" w:rsidP="00A81DCD">
      <w:pPr>
        <w:tabs>
          <w:tab w:val="left" w:pos="-720"/>
        </w:tabs>
        <w:spacing w:line="200" w:lineRule="exact"/>
        <w:jc w:val="both"/>
        <w:rPr>
          <w:sz w:val="22"/>
          <w:szCs w:val="22"/>
        </w:rPr>
      </w:pPr>
      <w:r w:rsidRPr="00501AD3">
        <w:rPr>
          <w:sz w:val="22"/>
          <w:szCs w:val="22"/>
        </w:rPr>
        <w:t xml:space="preserve">Indicate by check mark if the registrant is a well-known seasoned issuer, as defined in Rule 405 of the Securities Act. </w:t>
      </w:r>
    </w:p>
    <w:p w14:paraId="264CAAFC" w14:textId="77777777" w:rsidR="00A81DCD" w:rsidRPr="00501AD3" w:rsidRDefault="00A81DCD" w:rsidP="00A81DCD">
      <w:pPr>
        <w:tabs>
          <w:tab w:val="left" w:pos="-720"/>
        </w:tabs>
        <w:spacing w:line="200" w:lineRule="exact"/>
        <w:jc w:val="both"/>
        <w:rPr>
          <w:sz w:val="22"/>
          <w:szCs w:val="22"/>
        </w:rPr>
      </w:pPr>
      <w:r w:rsidRPr="00501AD3">
        <w:rPr>
          <w:sz w:val="22"/>
          <w:szCs w:val="22"/>
        </w:rPr>
        <w:t xml:space="preserve">Yes </w:t>
      </w:r>
      <w:r w:rsidRPr="00501AD3">
        <w:rPr>
          <w:sz w:val="22"/>
          <w:szCs w:val="22"/>
        </w:rPr>
        <w:sym w:font="Wingdings" w:char="F06F"/>
      </w:r>
      <w:r w:rsidRPr="00501AD3">
        <w:rPr>
          <w:sz w:val="22"/>
          <w:szCs w:val="22"/>
        </w:rPr>
        <w:t xml:space="preserve">   No </w:t>
      </w:r>
      <w:r w:rsidRPr="00501AD3">
        <w:rPr>
          <w:b/>
          <w:sz w:val="22"/>
          <w:szCs w:val="22"/>
        </w:rPr>
        <w:sym w:font="Wingdings" w:char="F0FE"/>
      </w:r>
    </w:p>
    <w:p w14:paraId="66485EC9" w14:textId="77777777" w:rsidR="00A81DCD" w:rsidRPr="00501AD3" w:rsidRDefault="00A81DCD" w:rsidP="00A81DCD">
      <w:pPr>
        <w:suppressAutoHyphens/>
        <w:spacing w:line="200" w:lineRule="exact"/>
        <w:ind w:firstLine="360"/>
        <w:jc w:val="both"/>
        <w:rPr>
          <w:sz w:val="22"/>
          <w:szCs w:val="22"/>
        </w:rPr>
      </w:pPr>
    </w:p>
    <w:p w14:paraId="01692BAD" w14:textId="77777777" w:rsidR="00A81DCD" w:rsidRPr="00501AD3" w:rsidRDefault="00A81DCD" w:rsidP="00A81DCD">
      <w:pPr>
        <w:tabs>
          <w:tab w:val="left" w:pos="-720"/>
        </w:tabs>
        <w:spacing w:line="200" w:lineRule="exact"/>
        <w:jc w:val="both"/>
        <w:rPr>
          <w:sz w:val="22"/>
          <w:szCs w:val="22"/>
        </w:rPr>
      </w:pPr>
      <w:r w:rsidRPr="00501AD3">
        <w:rPr>
          <w:sz w:val="22"/>
          <w:szCs w:val="22"/>
        </w:rPr>
        <w:t xml:space="preserve">Indicate by check mark if the registrant is not required to file reports pursuant </w:t>
      </w:r>
      <w:bookmarkStart w:id="0" w:name="_Hlk91689284"/>
      <w:r w:rsidRPr="00501AD3">
        <w:rPr>
          <w:sz w:val="22"/>
          <w:szCs w:val="22"/>
        </w:rPr>
        <w:t>to Section 13 or Section 15(d) of the Exchange Act.</w:t>
      </w:r>
      <w:bookmarkEnd w:id="0"/>
      <w:r w:rsidRPr="00501AD3">
        <w:rPr>
          <w:sz w:val="22"/>
          <w:szCs w:val="22"/>
        </w:rPr>
        <w:t xml:space="preserve"> Yes </w:t>
      </w:r>
      <w:r w:rsidRPr="00501AD3">
        <w:rPr>
          <w:sz w:val="22"/>
          <w:szCs w:val="22"/>
        </w:rPr>
        <w:sym w:font="Wingdings" w:char="F06F"/>
      </w:r>
      <w:r w:rsidRPr="00501AD3">
        <w:rPr>
          <w:sz w:val="22"/>
          <w:szCs w:val="22"/>
        </w:rPr>
        <w:t xml:space="preserve">   No </w:t>
      </w:r>
      <w:r w:rsidRPr="00501AD3">
        <w:rPr>
          <w:b/>
          <w:sz w:val="22"/>
          <w:szCs w:val="22"/>
        </w:rPr>
        <w:sym w:font="Wingdings" w:char="F0FE"/>
      </w:r>
    </w:p>
    <w:p w14:paraId="3ABD397B" w14:textId="77777777" w:rsidR="00A81DCD" w:rsidRPr="00501AD3" w:rsidRDefault="00A81DCD" w:rsidP="00A81DCD">
      <w:pPr>
        <w:tabs>
          <w:tab w:val="left" w:pos="-720"/>
          <w:tab w:val="left" w:pos="6480"/>
        </w:tabs>
        <w:spacing w:line="200" w:lineRule="exact"/>
        <w:rPr>
          <w:sz w:val="22"/>
          <w:szCs w:val="22"/>
        </w:rPr>
      </w:pPr>
    </w:p>
    <w:p w14:paraId="0852EEEB" w14:textId="77777777" w:rsidR="00BD6089" w:rsidRPr="00501AD3" w:rsidRDefault="00BD6089" w:rsidP="00BD6089">
      <w:pPr>
        <w:tabs>
          <w:tab w:val="left" w:pos="-720"/>
        </w:tabs>
        <w:spacing w:line="200" w:lineRule="exact"/>
        <w:jc w:val="both"/>
        <w:rPr>
          <w:sz w:val="22"/>
          <w:szCs w:val="22"/>
        </w:rPr>
      </w:pPr>
      <w:r w:rsidRPr="00501AD3">
        <w:rPr>
          <w:sz w:val="22"/>
          <w:szCs w:val="22"/>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sidRPr="00501AD3">
        <w:rPr>
          <w:b/>
          <w:sz w:val="22"/>
          <w:szCs w:val="22"/>
        </w:rPr>
        <w:sym w:font="Wingdings" w:char="F0FE"/>
      </w:r>
      <w:r w:rsidRPr="00501AD3">
        <w:rPr>
          <w:sz w:val="22"/>
          <w:szCs w:val="22"/>
        </w:rPr>
        <w:t xml:space="preserve">   No </w:t>
      </w:r>
      <w:r w:rsidRPr="00501AD3">
        <w:rPr>
          <w:sz w:val="22"/>
          <w:szCs w:val="22"/>
        </w:rPr>
        <w:sym w:font="Wingdings" w:char="F06F"/>
      </w:r>
    </w:p>
    <w:p w14:paraId="70A45408" w14:textId="77777777" w:rsidR="00A81DCD" w:rsidRPr="00501AD3" w:rsidRDefault="00A81DCD" w:rsidP="00A81DCD">
      <w:pPr>
        <w:tabs>
          <w:tab w:val="left" w:pos="-720"/>
        </w:tabs>
        <w:spacing w:line="200" w:lineRule="exact"/>
        <w:jc w:val="both"/>
        <w:rPr>
          <w:sz w:val="22"/>
          <w:szCs w:val="22"/>
        </w:rPr>
      </w:pPr>
    </w:p>
    <w:p w14:paraId="6B38AC9E" w14:textId="77777777" w:rsidR="00A81DCD" w:rsidRPr="00501AD3" w:rsidRDefault="00A81DCD" w:rsidP="00A81DCD">
      <w:pPr>
        <w:pStyle w:val="NormalWeb"/>
        <w:spacing w:before="0" w:beforeAutospacing="0" w:after="0" w:afterAutospacing="0"/>
        <w:jc w:val="both"/>
        <w:rPr>
          <w:sz w:val="22"/>
          <w:szCs w:val="22"/>
        </w:rPr>
      </w:pPr>
      <w:r w:rsidRPr="00501AD3">
        <w:rPr>
          <w:sz w:val="22"/>
          <w:szCs w:val="22"/>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sidRPr="00501AD3">
        <w:rPr>
          <w:b/>
          <w:sz w:val="22"/>
          <w:szCs w:val="22"/>
        </w:rPr>
        <w:sym w:font="Wingdings" w:char="F0FE"/>
      </w:r>
      <w:r w:rsidRPr="00501AD3">
        <w:rPr>
          <w:sz w:val="22"/>
          <w:szCs w:val="22"/>
        </w:rPr>
        <w:t>    No </w:t>
      </w:r>
      <w:r w:rsidRPr="00501AD3">
        <w:rPr>
          <w:sz w:val="22"/>
          <w:szCs w:val="22"/>
        </w:rPr>
        <w:sym w:font="Wingdings" w:char="F06F"/>
      </w:r>
      <w:r w:rsidRPr="00501AD3">
        <w:rPr>
          <w:sz w:val="22"/>
          <w:szCs w:val="22"/>
        </w:rPr>
        <w:t xml:space="preserve"> </w:t>
      </w:r>
    </w:p>
    <w:p w14:paraId="78431105" w14:textId="77777777" w:rsidR="00A81DCD" w:rsidRPr="00501AD3" w:rsidRDefault="00A81DCD" w:rsidP="00A81DCD">
      <w:pPr>
        <w:pStyle w:val="NormalWeb"/>
        <w:spacing w:before="0" w:beforeAutospacing="0" w:after="0" w:afterAutospacing="0"/>
        <w:jc w:val="both"/>
        <w:rPr>
          <w:sz w:val="22"/>
          <w:szCs w:val="22"/>
        </w:rPr>
      </w:pPr>
    </w:p>
    <w:p w14:paraId="3FF0F51C" w14:textId="77777777" w:rsidR="00A81DCD" w:rsidRDefault="00A81DCD" w:rsidP="00A81DCD">
      <w:pPr>
        <w:tabs>
          <w:tab w:val="left" w:pos="-720"/>
          <w:tab w:val="left" w:pos="1620"/>
        </w:tabs>
        <w:spacing w:line="200" w:lineRule="exact"/>
        <w:jc w:val="both"/>
        <w:rPr>
          <w:sz w:val="22"/>
          <w:szCs w:val="22"/>
        </w:rPr>
      </w:pPr>
      <w:r w:rsidRPr="00501AD3">
        <w:rPr>
          <w:sz w:val="22"/>
          <w:szCs w:val="22"/>
        </w:rPr>
        <w:t>Indicate by check mark whether the registrant is a large accelerated filer, an accelerated filer, a non-accelerated filer</w:t>
      </w:r>
      <w:r w:rsidR="00BD6089" w:rsidRPr="00501AD3">
        <w:rPr>
          <w:sz w:val="22"/>
          <w:szCs w:val="22"/>
        </w:rPr>
        <w:t>,</w:t>
      </w:r>
      <w:r w:rsidRPr="00501AD3">
        <w:rPr>
          <w:sz w:val="22"/>
          <w:szCs w:val="22"/>
        </w:rPr>
        <w:t xml:space="preserve"> a smaller reporting company</w:t>
      </w:r>
      <w:r w:rsidR="00BD6089" w:rsidRPr="00501AD3">
        <w:rPr>
          <w:sz w:val="22"/>
          <w:szCs w:val="22"/>
        </w:rPr>
        <w:t>, or an emerging growth company.</w:t>
      </w:r>
      <w:r w:rsidRPr="00501AD3">
        <w:rPr>
          <w:spacing w:val="10"/>
          <w:sz w:val="22"/>
          <w:szCs w:val="22"/>
        </w:rPr>
        <w:t xml:space="preserve"> </w:t>
      </w:r>
      <w:r w:rsidRPr="00501AD3">
        <w:rPr>
          <w:sz w:val="22"/>
          <w:szCs w:val="22"/>
        </w:rPr>
        <w:t>See definition</w:t>
      </w:r>
      <w:r w:rsidR="00BD6089" w:rsidRPr="00501AD3">
        <w:rPr>
          <w:sz w:val="22"/>
          <w:szCs w:val="22"/>
        </w:rPr>
        <w:t>s</w:t>
      </w:r>
      <w:r w:rsidRPr="00501AD3">
        <w:rPr>
          <w:sz w:val="22"/>
          <w:szCs w:val="22"/>
        </w:rPr>
        <w:t xml:space="preserve"> of “large accelerated filer,” “accelerated filer,” “smaller reporting company” and “emerging growth company” in Rule 12b-2 of the Exchange Act.</w:t>
      </w:r>
    </w:p>
    <w:p w14:paraId="00938918" w14:textId="77777777" w:rsidR="006944D3" w:rsidRPr="00501AD3" w:rsidRDefault="006944D3" w:rsidP="00A81DCD">
      <w:pPr>
        <w:tabs>
          <w:tab w:val="left" w:pos="-720"/>
          <w:tab w:val="left" w:pos="1620"/>
        </w:tabs>
        <w:spacing w:line="200" w:lineRule="exact"/>
        <w:jc w:val="both"/>
        <w:rPr>
          <w:sz w:val="22"/>
          <w:szCs w:val="22"/>
        </w:rPr>
      </w:pPr>
    </w:p>
    <w:p w14:paraId="19F81C99" w14:textId="77777777" w:rsidR="00A81DCD" w:rsidRPr="00501AD3" w:rsidRDefault="00A81DCD" w:rsidP="00A81DCD">
      <w:pPr>
        <w:tabs>
          <w:tab w:val="left" w:pos="-720"/>
          <w:tab w:val="left" w:pos="1620"/>
          <w:tab w:val="left" w:pos="2520"/>
          <w:tab w:val="left" w:pos="4500"/>
        </w:tabs>
        <w:spacing w:line="200" w:lineRule="exact"/>
        <w:jc w:val="both"/>
        <w:rPr>
          <w:sz w:val="22"/>
          <w:szCs w:val="22"/>
        </w:rPr>
      </w:pPr>
      <w:r w:rsidRPr="00501AD3">
        <w:rPr>
          <w:sz w:val="22"/>
          <w:szCs w:val="22"/>
        </w:rPr>
        <w:t xml:space="preserve">Large accelerated filer </w:t>
      </w:r>
      <w:r w:rsidRPr="00501AD3">
        <w:rPr>
          <w:sz w:val="22"/>
          <w:szCs w:val="22"/>
        </w:rPr>
        <w:sym w:font="Wingdings" w:char="F06F"/>
      </w:r>
      <w:r w:rsidRPr="00501AD3">
        <w:rPr>
          <w:sz w:val="22"/>
          <w:szCs w:val="22"/>
        </w:rPr>
        <w:tab/>
        <w:t xml:space="preserve">Accelerated filer </w:t>
      </w:r>
      <w:r w:rsidRPr="00501AD3">
        <w:rPr>
          <w:sz w:val="22"/>
          <w:szCs w:val="22"/>
        </w:rPr>
        <w:sym w:font="Wingdings" w:char="F06F"/>
      </w:r>
      <w:r w:rsidRPr="00501AD3">
        <w:rPr>
          <w:sz w:val="22"/>
          <w:szCs w:val="22"/>
        </w:rPr>
        <w:tab/>
        <w:t xml:space="preserve">Non-accelerated filer  </w:t>
      </w:r>
      <w:r w:rsidRPr="00501AD3">
        <w:rPr>
          <w:b/>
          <w:sz w:val="22"/>
          <w:szCs w:val="22"/>
        </w:rPr>
        <w:sym w:font="Wingdings" w:char="F0FE"/>
      </w:r>
      <w:r w:rsidRPr="00501AD3">
        <w:rPr>
          <w:b/>
          <w:sz w:val="22"/>
          <w:szCs w:val="22"/>
        </w:rPr>
        <w:t xml:space="preserve"> </w:t>
      </w:r>
      <w:r w:rsidRPr="00501AD3">
        <w:rPr>
          <w:sz w:val="22"/>
          <w:szCs w:val="22"/>
        </w:rPr>
        <w:t xml:space="preserve">         Smaller reporting company  </w:t>
      </w:r>
      <w:bookmarkStart w:id="1" w:name="_Hlk4002510"/>
      <w:r w:rsidRPr="00501AD3">
        <w:rPr>
          <w:b/>
          <w:sz w:val="22"/>
          <w:szCs w:val="22"/>
        </w:rPr>
        <w:sym w:font="Wingdings" w:char="F0FE"/>
      </w:r>
      <w:r w:rsidRPr="00501AD3">
        <w:rPr>
          <w:b/>
          <w:sz w:val="22"/>
          <w:szCs w:val="22"/>
        </w:rPr>
        <w:t xml:space="preserve"> </w:t>
      </w:r>
      <w:bookmarkEnd w:id="1"/>
      <w:r w:rsidRPr="00501AD3">
        <w:rPr>
          <w:sz w:val="22"/>
          <w:szCs w:val="22"/>
        </w:rPr>
        <w:t xml:space="preserve">  Emerging growth company </w:t>
      </w:r>
      <w:r w:rsidRPr="00501AD3">
        <w:rPr>
          <w:sz w:val="22"/>
          <w:szCs w:val="22"/>
        </w:rPr>
        <w:sym w:font="Wingdings" w:char="F06F"/>
      </w:r>
    </w:p>
    <w:p w14:paraId="5E6DE2DC" w14:textId="77777777" w:rsidR="00A81DCD" w:rsidRPr="00501AD3" w:rsidRDefault="00A81DCD" w:rsidP="00A81DCD">
      <w:pPr>
        <w:tabs>
          <w:tab w:val="left" w:pos="-720"/>
          <w:tab w:val="left" w:pos="1620"/>
          <w:tab w:val="left" w:pos="2520"/>
          <w:tab w:val="left" w:pos="4500"/>
        </w:tabs>
        <w:spacing w:line="200" w:lineRule="exact"/>
        <w:jc w:val="both"/>
        <w:rPr>
          <w:sz w:val="22"/>
          <w:szCs w:val="22"/>
        </w:rPr>
      </w:pPr>
    </w:p>
    <w:p w14:paraId="38A5047D" w14:textId="77777777" w:rsidR="00A81DCD" w:rsidRPr="00501AD3" w:rsidRDefault="00A81DCD" w:rsidP="0014314E">
      <w:pPr>
        <w:tabs>
          <w:tab w:val="left" w:pos="-720"/>
          <w:tab w:val="left" w:pos="1620"/>
          <w:tab w:val="left" w:pos="2520"/>
          <w:tab w:val="left" w:pos="4500"/>
        </w:tabs>
        <w:spacing w:line="200" w:lineRule="exact"/>
        <w:jc w:val="both"/>
        <w:rPr>
          <w:sz w:val="22"/>
          <w:szCs w:val="22"/>
        </w:rPr>
      </w:pPr>
      <w:r w:rsidRPr="00501AD3">
        <w:rPr>
          <w:sz w:val="22"/>
          <w:szCs w:val="22"/>
        </w:rPr>
        <w:lastRenderedPageBreak/>
        <w:t xml:space="preserve">If an emerging growth company, indicate by check mark if the registrant has elected not to use the extended transition period for complying with any new or revised financial accounting standards provided pursuant to </w:t>
      </w:r>
      <w:r w:rsidR="00BD6089" w:rsidRPr="00501AD3">
        <w:rPr>
          <w:sz w:val="22"/>
          <w:szCs w:val="22"/>
        </w:rPr>
        <w:t>S</w:t>
      </w:r>
      <w:r w:rsidRPr="00501AD3">
        <w:rPr>
          <w:sz w:val="22"/>
          <w:szCs w:val="22"/>
        </w:rPr>
        <w:t xml:space="preserve">ection 13(a) of the Exchange Act. </w:t>
      </w:r>
      <w:r w:rsidRPr="00501AD3">
        <w:rPr>
          <w:sz w:val="22"/>
          <w:szCs w:val="22"/>
        </w:rPr>
        <w:sym w:font="Wingdings" w:char="F06F"/>
      </w:r>
    </w:p>
    <w:p w14:paraId="2DA9FED6" w14:textId="77777777" w:rsidR="00A81DCD" w:rsidRPr="00501AD3" w:rsidRDefault="00A81DCD" w:rsidP="00A81DCD">
      <w:pPr>
        <w:suppressAutoHyphens/>
        <w:spacing w:line="200" w:lineRule="exact"/>
        <w:ind w:firstLine="360"/>
        <w:jc w:val="both"/>
        <w:rPr>
          <w:sz w:val="22"/>
          <w:szCs w:val="22"/>
        </w:rPr>
      </w:pPr>
    </w:p>
    <w:p w14:paraId="2D00C998" w14:textId="54A56453" w:rsidR="000C6DBC" w:rsidRDefault="000C6DBC" w:rsidP="000C6DBC">
      <w:pPr>
        <w:tabs>
          <w:tab w:val="left" w:pos="-720"/>
          <w:tab w:val="left" w:pos="1620"/>
          <w:tab w:val="left" w:pos="2520"/>
          <w:tab w:val="left" w:pos="4500"/>
        </w:tabs>
        <w:spacing w:line="200" w:lineRule="exact"/>
        <w:jc w:val="both"/>
        <w:rPr>
          <w:sz w:val="22"/>
          <w:szCs w:val="22"/>
        </w:rPr>
      </w:pPr>
      <w:r w:rsidRPr="00501AD3">
        <w:rPr>
          <w:sz w:val="22"/>
          <w:szCs w:val="22"/>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r w:rsidRPr="00501AD3">
        <w:rPr>
          <w:sz w:val="22"/>
          <w:szCs w:val="22"/>
        </w:rPr>
        <w:sym w:font="Wingdings" w:char="F06F"/>
      </w:r>
    </w:p>
    <w:p w14:paraId="330502D9" w14:textId="77777777" w:rsidR="00515ACB" w:rsidRPr="00501AD3" w:rsidRDefault="00515ACB" w:rsidP="000C6DBC">
      <w:pPr>
        <w:tabs>
          <w:tab w:val="left" w:pos="-720"/>
          <w:tab w:val="left" w:pos="1620"/>
          <w:tab w:val="left" w:pos="2520"/>
          <w:tab w:val="left" w:pos="4500"/>
        </w:tabs>
        <w:spacing w:line="200" w:lineRule="exact"/>
        <w:jc w:val="both"/>
        <w:rPr>
          <w:sz w:val="22"/>
          <w:szCs w:val="22"/>
        </w:rPr>
      </w:pPr>
    </w:p>
    <w:p w14:paraId="10B7C217" w14:textId="77777777" w:rsidR="00515ACB" w:rsidRDefault="00515ACB" w:rsidP="00515ACB">
      <w:pPr>
        <w:tabs>
          <w:tab w:val="left" w:pos="-720"/>
          <w:tab w:val="left" w:pos="1620"/>
          <w:tab w:val="left" w:pos="2520"/>
          <w:tab w:val="left" w:pos="4500"/>
        </w:tabs>
        <w:spacing w:line="200" w:lineRule="exact"/>
        <w:jc w:val="both"/>
        <w:rPr>
          <w:rFonts w:ascii="Segoe UI Symbol" w:hAnsi="Segoe UI Symbol" w:cs="Segoe UI Symbol"/>
          <w:sz w:val="22"/>
          <w:szCs w:val="22"/>
        </w:rPr>
      </w:pPr>
      <w:r w:rsidRPr="00D96CB8">
        <w:rPr>
          <w:sz w:val="22"/>
          <w:szCs w:val="22"/>
        </w:rPr>
        <w:t xml:space="preserve">If securities are registered pursuant to Section 12(b) of the Act, indicate by check mark whether the financial statements of the registrant included in the filing reflect the correction of an error to previously issued financial statements. </w:t>
      </w:r>
      <w:r w:rsidRPr="00D96CB8">
        <w:rPr>
          <w:rFonts w:ascii="Segoe UI Symbol" w:hAnsi="Segoe UI Symbol" w:cs="Segoe UI Symbol"/>
          <w:sz w:val="22"/>
          <w:szCs w:val="22"/>
        </w:rPr>
        <w:t>☐</w:t>
      </w:r>
    </w:p>
    <w:p w14:paraId="749DB269" w14:textId="77777777" w:rsidR="00515ACB" w:rsidRPr="00D96CB8" w:rsidRDefault="00515ACB" w:rsidP="00515ACB">
      <w:pPr>
        <w:tabs>
          <w:tab w:val="left" w:pos="-720"/>
          <w:tab w:val="left" w:pos="1620"/>
          <w:tab w:val="left" w:pos="2520"/>
          <w:tab w:val="left" w:pos="4500"/>
        </w:tabs>
        <w:spacing w:line="200" w:lineRule="exact"/>
        <w:jc w:val="both"/>
        <w:rPr>
          <w:sz w:val="22"/>
          <w:szCs w:val="22"/>
        </w:rPr>
      </w:pPr>
    </w:p>
    <w:p w14:paraId="60D25FFA" w14:textId="77777777" w:rsidR="00515ACB" w:rsidRDefault="00515ACB" w:rsidP="00515ACB">
      <w:pPr>
        <w:tabs>
          <w:tab w:val="left" w:pos="-720"/>
          <w:tab w:val="left" w:pos="1620"/>
          <w:tab w:val="left" w:pos="2520"/>
          <w:tab w:val="left" w:pos="4500"/>
        </w:tabs>
        <w:spacing w:line="200" w:lineRule="exact"/>
        <w:jc w:val="both"/>
        <w:rPr>
          <w:sz w:val="22"/>
          <w:szCs w:val="22"/>
        </w:rPr>
      </w:pPr>
      <w:r w:rsidRPr="00D96CB8">
        <w:rPr>
          <w:sz w:val="22"/>
          <w:szCs w:val="22"/>
        </w:rPr>
        <w:t xml:space="preserve">Indicate by check mark whether any of those error corrections are restatements that required a recovery analysis of incentive-based compensation received by any of the registrant’s executive officers during the relevant recovery period pursuant to §240.10D-1(b). </w:t>
      </w:r>
      <w:r w:rsidRPr="00D96CB8">
        <w:rPr>
          <w:rFonts w:ascii="Segoe UI Symbol" w:hAnsi="Segoe UI Symbol" w:cs="Segoe UI Symbol"/>
          <w:sz w:val="22"/>
          <w:szCs w:val="22"/>
        </w:rPr>
        <w:t>☐</w:t>
      </w:r>
    </w:p>
    <w:p w14:paraId="1257ECA7" w14:textId="77777777" w:rsidR="00824D81" w:rsidRDefault="00824D81" w:rsidP="00A81DCD">
      <w:pPr>
        <w:tabs>
          <w:tab w:val="left" w:pos="-720"/>
        </w:tabs>
        <w:spacing w:line="200" w:lineRule="exact"/>
        <w:jc w:val="both"/>
        <w:rPr>
          <w:sz w:val="22"/>
          <w:szCs w:val="22"/>
        </w:rPr>
      </w:pPr>
    </w:p>
    <w:p w14:paraId="6DA21FE5" w14:textId="28B06679" w:rsidR="00A81DCD" w:rsidRPr="00501AD3" w:rsidRDefault="00A81DCD" w:rsidP="00A81DCD">
      <w:pPr>
        <w:tabs>
          <w:tab w:val="left" w:pos="-720"/>
        </w:tabs>
        <w:spacing w:line="200" w:lineRule="exact"/>
        <w:jc w:val="both"/>
        <w:rPr>
          <w:sz w:val="22"/>
          <w:szCs w:val="22"/>
        </w:rPr>
      </w:pPr>
      <w:r w:rsidRPr="00501AD3">
        <w:rPr>
          <w:sz w:val="22"/>
          <w:szCs w:val="22"/>
        </w:rPr>
        <w:t>Indicate by check mark whether the registrant is a shell company (as defined in Rule 12b-2 of the Act).</w:t>
      </w:r>
      <w:r w:rsidRPr="00501AD3">
        <w:rPr>
          <w:sz w:val="22"/>
          <w:szCs w:val="22"/>
        </w:rPr>
        <w:tab/>
      </w:r>
    </w:p>
    <w:p w14:paraId="728141AE" w14:textId="77777777" w:rsidR="000C6DBC" w:rsidRPr="00501AD3" w:rsidRDefault="000C6DBC" w:rsidP="00A81DCD">
      <w:pPr>
        <w:tabs>
          <w:tab w:val="left" w:pos="-720"/>
        </w:tabs>
        <w:spacing w:line="200" w:lineRule="exact"/>
        <w:jc w:val="both"/>
        <w:rPr>
          <w:sz w:val="22"/>
          <w:szCs w:val="22"/>
        </w:rPr>
      </w:pPr>
    </w:p>
    <w:p w14:paraId="7FAE9151" w14:textId="77777777" w:rsidR="00A81DCD" w:rsidRPr="00501AD3" w:rsidRDefault="00A81DCD" w:rsidP="00A81DCD">
      <w:pPr>
        <w:tabs>
          <w:tab w:val="left" w:pos="-720"/>
        </w:tabs>
        <w:spacing w:line="200" w:lineRule="exact"/>
        <w:jc w:val="both"/>
        <w:rPr>
          <w:sz w:val="22"/>
          <w:szCs w:val="22"/>
        </w:rPr>
      </w:pPr>
      <w:r w:rsidRPr="00501AD3">
        <w:rPr>
          <w:sz w:val="22"/>
          <w:szCs w:val="22"/>
        </w:rPr>
        <w:t xml:space="preserve">Yes </w:t>
      </w:r>
      <w:r w:rsidRPr="00501AD3">
        <w:rPr>
          <w:sz w:val="22"/>
          <w:szCs w:val="22"/>
        </w:rPr>
        <w:sym w:font="Wingdings" w:char="F06F"/>
      </w:r>
      <w:r w:rsidRPr="00501AD3">
        <w:rPr>
          <w:sz w:val="22"/>
          <w:szCs w:val="22"/>
        </w:rPr>
        <w:t xml:space="preserve">   No </w:t>
      </w:r>
      <w:r w:rsidRPr="00501AD3">
        <w:rPr>
          <w:b/>
          <w:sz w:val="22"/>
          <w:szCs w:val="22"/>
        </w:rPr>
        <w:sym w:font="Wingdings" w:char="F0FE"/>
      </w:r>
      <w:r w:rsidRPr="00501AD3">
        <w:rPr>
          <w:sz w:val="22"/>
          <w:szCs w:val="22"/>
        </w:rPr>
        <w:tab/>
      </w:r>
    </w:p>
    <w:p w14:paraId="6709DDD0" w14:textId="77777777" w:rsidR="00A81DCD" w:rsidRPr="00501AD3" w:rsidRDefault="00A81DCD" w:rsidP="00A81DCD">
      <w:pPr>
        <w:tabs>
          <w:tab w:val="left" w:pos="-720"/>
        </w:tabs>
        <w:spacing w:line="200" w:lineRule="exact"/>
        <w:jc w:val="both"/>
        <w:rPr>
          <w:sz w:val="22"/>
          <w:szCs w:val="22"/>
        </w:rPr>
      </w:pPr>
    </w:p>
    <w:p w14:paraId="008F6B7A" w14:textId="430BB071" w:rsidR="00A81DCD" w:rsidRPr="00501AD3" w:rsidRDefault="00A81DCD" w:rsidP="00A81DCD">
      <w:pPr>
        <w:tabs>
          <w:tab w:val="left" w:pos="-720"/>
        </w:tabs>
        <w:spacing w:line="200" w:lineRule="exact"/>
        <w:jc w:val="both"/>
        <w:rPr>
          <w:b/>
          <w:sz w:val="22"/>
          <w:szCs w:val="22"/>
        </w:rPr>
      </w:pPr>
      <w:r w:rsidRPr="00501AD3">
        <w:rPr>
          <w:sz w:val="22"/>
          <w:szCs w:val="22"/>
        </w:rPr>
        <w:t xml:space="preserve">The aggregate market value of the registrant’s common stock held by non-affiliates of the registrant (based on the closing price reported on The Nasdaq Stock Market on June </w:t>
      </w:r>
      <w:r w:rsidR="009B4BA5" w:rsidRPr="00501AD3">
        <w:rPr>
          <w:sz w:val="22"/>
          <w:szCs w:val="22"/>
        </w:rPr>
        <w:t>30</w:t>
      </w:r>
      <w:r w:rsidRPr="00501AD3">
        <w:rPr>
          <w:sz w:val="22"/>
          <w:szCs w:val="22"/>
        </w:rPr>
        <w:t xml:space="preserve">, </w:t>
      </w:r>
      <w:r w:rsidR="009F32F5" w:rsidRPr="00501AD3">
        <w:rPr>
          <w:sz w:val="22"/>
          <w:szCs w:val="22"/>
        </w:rPr>
        <w:t>202</w:t>
      </w:r>
      <w:r w:rsidR="00113CA4" w:rsidRPr="00501AD3">
        <w:rPr>
          <w:sz w:val="22"/>
          <w:szCs w:val="22"/>
        </w:rPr>
        <w:t>2</w:t>
      </w:r>
      <w:r w:rsidRPr="00501AD3">
        <w:rPr>
          <w:sz w:val="22"/>
          <w:szCs w:val="22"/>
        </w:rPr>
        <w:t xml:space="preserve">) was </w:t>
      </w:r>
      <w:r w:rsidR="00D82CF3" w:rsidRPr="00501AD3">
        <w:rPr>
          <w:sz w:val="22"/>
          <w:szCs w:val="22"/>
        </w:rPr>
        <w:t>$</w:t>
      </w:r>
      <w:r w:rsidR="00F870C3" w:rsidRPr="00216AD6">
        <w:rPr>
          <w:sz w:val="22"/>
          <w:szCs w:val="22"/>
        </w:rPr>
        <w:t>11</w:t>
      </w:r>
      <w:r w:rsidR="00402882" w:rsidRPr="00216AD6">
        <w:rPr>
          <w:sz w:val="22"/>
          <w:szCs w:val="22"/>
        </w:rPr>
        <w:t>9</w:t>
      </w:r>
      <w:r w:rsidR="00E840EB" w:rsidRPr="00216AD6">
        <w:rPr>
          <w:sz w:val="22"/>
          <w:szCs w:val="22"/>
        </w:rPr>
        <w:t>,</w:t>
      </w:r>
      <w:r w:rsidR="00402882" w:rsidRPr="00216AD6">
        <w:rPr>
          <w:sz w:val="22"/>
          <w:szCs w:val="22"/>
        </w:rPr>
        <w:t>621</w:t>
      </w:r>
      <w:r w:rsidR="00E840EB" w:rsidRPr="00216AD6">
        <w:rPr>
          <w:sz w:val="22"/>
          <w:szCs w:val="22"/>
        </w:rPr>
        <w:t>,</w:t>
      </w:r>
      <w:r w:rsidR="00402882" w:rsidRPr="00216AD6">
        <w:rPr>
          <w:sz w:val="22"/>
          <w:szCs w:val="22"/>
        </w:rPr>
        <w:t>374</w:t>
      </w:r>
      <w:r w:rsidR="00D82CF3" w:rsidRPr="00216AD6">
        <w:rPr>
          <w:sz w:val="22"/>
          <w:szCs w:val="22"/>
        </w:rPr>
        <w:t>.</w:t>
      </w:r>
    </w:p>
    <w:p w14:paraId="191AE4EA" w14:textId="77777777" w:rsidR="00A81DCD" w:rsidRPr="00501AD3" w:rsidRDefault="00A81DCD" w:rsidP="00A81DCD">
      <w:pPr>
        <w:tabs>
          <w:tab w:val="left" w:pos="-720"/>
        </w:tabs>
        <w:spacing w:line="200" w:lineRule="exact"/>
        <w:jc w:val="both"/>
        <w:outlineLvl w:val="0"/>
        <w:rPr>
          <w:sz w:val="22"/>
          <w:szCs w:val="22"/>
        </w:rPr>
      </w:pPr>
    </w:p>
    <w:p w14:paraId="37CCA453" w14:textId="54D5FD89" w:rsidR="00A81DCD" w:rsidRPr="00501AD3" w:rsidRDefault="00A81DCD" w:rsidP="00A81DCD">
      <w:pPr>
        <w:tabs>
          <w:tab w:val="left" w:pos="-720"/>
        </w:tabs>
        <w:spacing w:line="200" w:lineRule="exact"/>
        <w:jc w:val="both"/>
        <w:outlineLvl w:val="0"/>
        <w:rPr>
          <w:sz w:val="22"/>
          <w:szCs w:val="22"/>
        </w:rPr>
      </w:pPr>
      <w:r w:rsidRPr="00501AD3">
        <w:rPr>
          <w:sz w:val="22"/>
          <w:szCs w:val="22"/>
        </w:rPr>
        <w:t xml:space="preserve">The number of outstanding shares of the registrant’s </w:t>
      </w:r>
      <w:r w:rsidR="00BD6089" w:rsidRPr="00501AD3">
        <w:rPr>
          <w:sz w:val="22"/>
          <w:szCs w:val="22"/>
        </w:rPr>
        <w:t>Common Stock</w:t>
      </w:r>
      <w:r w:rsidRPr="00501AD3">
        <w:rPr>
          <w:sz w:val="22"/>
          <w:szCs w:val="22"/>
        </w:rPr>
        <w:t xml:space="preserve">, $.01 par value, as of </w:t>
      </w:r>
      <w:r w:rsidR="005B3C47">
        <w:rPr>
          <w:sz w:val="22"/>
          <w:szCs w:val="22"/>
        </w:rPr>
        <w:t xml:space="preserve">February </w:t>
      </w:r>
      <w:r w:rsidR="00857F86">
        <w:rPr>
          <w:sz w:val="22"/>
          <w:szCs w:val="22"/>
        </w:rPr>
        <w:t>20</w:t>
      </w:r>
      <w:r w:rsidR="005B3C47">
        <w:rPr>
          <w:sz w:val="22"/>
          <w:szCs w:val="22"/>
        </w:rPr>
        <w:t>, 2023</w:t>
      </w:r>
      <w:r w:rsidRPr="00501AD3">
        <w:rPr>
          <w:sz w:val="22"/>
          <w:szCs w:val="22"/>
        </w:rPr>
        <w:t xml:space="preserve"> was</w:t>
      </w:r>
      <w:r w:rsidR="00DE2259" w:rsidRPr="00501AD3">
        <w:rPr>
          <w:sz w:val="22"/>
          <w:szCs w:val="22"/>
        </w:rPr>
        <w:t xml:space="preserve"> </w:t>
      </w:r>
      <w:r w:rsidR="00F72D35" w:rsidRPr="00D66365">
        <w:rPr>
          <w:sz w:val="22"/>
          <w:szCs w:val="22"/>
        </w:rPr>
        <w:t>27,</w:t>
      </w:r>
      <w:r w:rsidR="00FB54DC" w:rsidRPr="00D66365">
        <w:rPr>
          <w:sz w:val="22"/>
          <w:szCs w:val="22"/>
        </w:rPr>
        <w:t>404,901</w:t>
      </w:r>
    </w:p>
    <w:p w14:paraId="40C8D5C9" w14:textId="77777777" w:rsidR="00A81DCD" w:rsidRPr="00501AD3" w:rsidRDefault="00A81DCD" w:rsidP="00A81DCD">
      <w:pPr>
        <w:tabs>
          <w:tab w:val="left" w:pos="-720"/>
        </w:tabs>
        <w:spacing w:line="200" w:lineRule="exact"/>
        <w:rPr>
          <w:sz w:val="22"/>
          <w:szCs w:val="22"/>
        </w:rPr>
      </w:pPr>
    </w:p>
    <w:p w14:paraId="73BE6911" w14:textId="77777777" w:rsidR="00A81DCD" w:rsidRPr="00501AD3" w:rsidRDefault="00A81DCD" w:rsidP="00A81DCD">
      <w:pPr>
        <w:pBdr>
          <w:bottom w:val="single" w:sz="12" w:space="1" w:color="auto"/>
        </w:pBdr>
        <w:tabs>
          <w:tab w:val="center" w:pos="4680"/>
        </w:tabs>
        <w:spacing w:line="200" w:lineRule="exact"/>
        <w:jc w:val="center"/>
        <w:outlineLvl w:val="0"/>
        <w:rPr>
          <w:b/>
          <w:sz w:val="22"/>
          <w:szCs w:val="22"/>
        </w:rPr>
      </w:pPr>
      <w:r w:rsidRPr="00501AD3">
        <w:rPr>
          <w:b/>
          <w:sz w:val="22"/>
          <w:szCs w:val="22"/>
        </w:rPr>
        <w:t>DOCUMENTS INCORPORATED BY REFERENCE</w:t>
      </w:r>
    </w:p>
    <w:p w14:paraId="6AD1A457" w14:textId="77777777" w:rsidR="00A81DCD" w:rsidRPr="00501AD3" w:rsidRDefault="00A81DCD" w:rsidP="00A81DCD">
      <w:pPr>
        <w:pBdr>
          <w:bottom w:val="single" w:sz="12" w:space="1" w:color="auto"/>
        </w:pBdr>
        <w:tabs>
          <w:tab w:val="center" w:pos="4680"/>
        </w:tabs>
        <w:spacing w:line="200" w:lineRule="exact"/>
        <w:jc w:val="center"/>
        <w:outlineLvl w:val="0"/>
        <w:rPr>
          <w:sz w:val="22"/>
          <w:szCs w:val="22"/>
        </w:rPr>
      </w:pPr>
    </w:p>
    <w:p w14:paraId="079A7E7E" w14:textId="3D4F3362" w:rsidR="00A81DCD" w:rsidRPr="00501AD3" w:rsidRDefault="00A81DCD" w:rsidP="00A81DCD">
      <w:pPr>
        <w:pBdr>
          <w:bottom w:val="single" w:sz="12" w:space="1" w:color="auto"/>
        </w:pBdr>
        <w:tabs>
          <w:tab w:val="center" w:pos="4680"/>
        </w:tabs>
        <w:spacing w:line="200" w:lineRule="exact"/>
        <w:jc w:val="center"/>
        <w:rPr>
          <w:sz w:val="22"/>
          <w:szCs w:val="22"/>
        </w:rPr>
        <w:sectPr w:rsidR="00A81DCD" w:rsidRPr="00501AD3" w:rsidSect="00A81DCD">
          <w:footerReference w:type="even" r:id="rId19"/>
          <w:footerReference w:type="default" r:id="rId20"/>
          <w:pgSz w:w="12240" w:h="15840"/>
          <w:pgMar w:top="1440" w:right="1008" w:bottom="864" w:left="1166" w:header="432" w:footer="432" w:gutter="0"/>
          <w:pgNumType w:start="0"/>
          <w:cols w:space="720"/>
          <w:titlePg/>
        </w:sectPr>
      </w:pPr>
      <w:r w:rsidRPr="00501AD3">
        <w:rPr>
          <w:sz w:val="22"/>
          <w:szCs w:val="22"/>
        </w:rPr>
        <w:t xml:space="preserve">Portions of the Registrant’s definitive proxy statement for the </w:t>
      </w:r>
      <w:r w:rsidR="00E807FA" w:rsidRPr="00501AD3">
        <w:rPr>
          <w:sz w:val="22"/>
          <w:szCs w:val="22"/>
        </w:rPr>
        <w:t>202</w:t>
      </w:r>
      <w:r w:rsidR="00E807FA">
        <w:rPr>
          <w:sz w:val="22"/>
          <w:szCs w:val="22"/>
        </w:rPr>
        <w:t>3</w:t>
      </w:r>
      <w:r w:rsidR="00E807FA" w:rsidRPr="00501AD3">
        <w:rPr>
          <w:sz w:val="22"/>
          <w:szCs w:val="22"/>
        </w:rPr>
        <w:t xml:space="preserve"> </w:t>
      </w:r>
      <w:r w:rsidRPr="00501AD3">
        <w:rPr>
          <w:sz w:val="22"/>
          <w:szCs w:val="22"/>
        </w:rPr>
        <w:t>Annual Meeting of Stockholders are incorporated by reference in Items 10,11,</w:t>
      </w:r>
      <w:r w:rsidR="00372FA5" w:rsidRPr="00501AD3">
        <w:rPr>
          <w:sz w:val="22"/>
          <w:szCs w:val="22"/>
        </w:rPr>
        <w:t xml:space="preserve"> </w:t>
      </w:r>
      <w:r w:rsidRPr="00501AD3">
        <w:rPr>
          <w:sz w:val="22"/>
          <w:szCs w:val="22"/>
        </w:rPr>
        <w:t>12,</w:t>
      </w:r>
      <w:r w:rsidR="00372FA5" w:rsidRPr="00501AD3">
        <w:rPr>
          <w:sz w:val="22"/>
          <w:szCs w:val="22"/>
        </w:rPr>
        <w:t xml:space="preserve"> </w:t>
      </w:r>
      <w:r w:rsidRPr="00501AD3">
        <w:rPr>
          <w:sz w:val="22"/>
          <w:szCs w:val="22"/>
        </w:rPr>
        <w:t>13 and 14 of Part III of this Form 10-K.</w:t>
      </w:r>
    </w:p>
    <w:p w14:paraId="4CF35601" w14:textId="77777777" w:rsidR="00A81DCD" w:rsidRPr="00501AD3" w:rsidRDefault="00A81DCD" w:rsidP="00A81DCD">
      <w:pPr>
        <w:jc w:val="center"/>
        <w:outlineLvl w:val="0"/>
        <w:rPr>
          <w:b/>
          <w:sz w:val="22"/>
          <w:szCs w:val="22"/>
        </w:rPr>
      </w:pPr>
      <w:r w:rsidRPr="00501AD3">
        <w:rPr>
          <w:b/>
          <w:sz w:val="22"/>
          <w:szCs w:val="22"/>
        </w:rPr>
        <w:lastRenderedPageBreak/>
        <w:t>INNODATA INC.</w:t>
      </w:r>
    </w:p>
    <w:p w14:paraId="2E3740FA" w14:textId="77777777" w:rsidR="00A81DCD" w:rsidRPr="00501AD3" w:rsidRDefault="00A81DCD" w:rsidP="00A81DCD">
      <w:pPr>
        <w:jc w:val="center"/>
        <w:outlineLvl w:val="0"/>
        <w:rPr>
          <w:b/>
          <w:sz w:val="22"/>
          <w:szCs w:val="22"/>
        </w:rPr>
      </w:pPr>
      <w:r w:rsidRPr="00501AD3">
        <w:rPr>
          <w:b/>
          <w:sz w:val="22"/>
          <w:szCs w:val="22"/>
        </w:rPr>
        <w:t>Form 10-K</w:t>
      </w:r>
    </w:p>
    <w:p w14:paraId="18C47DC8" w14:textId="396D57CD" w:rsidR="00A81DCD" w:rsidRPr="00501AD3" w:rsidRDefault="00A81DCD" w:rsidP="00A81DCD">
      <w:pPr>
        <w:jc w:val="center"/>
        <w:outlineLvl w:val="0"/>
        <w:rPr>
          <w:b/>
          <w:sz w:val="22"/>
          <w:szCs w:val="22"/>
        </w:rPr>
      </w:pPr>
      <w:r w:rsidRPr="00501AD3">
        <w:rPr>
          <w:b/>
          <w:sz w:val="22"/>
          <w:szCs w:val="22"/>
        </w:rPr>
        <w:t xml:space="preserve">For the Year Ended December 31, </w:t>
      </w:r>
      <w:r w:rsidR="004521A5" w:rsidRPr="00501AD3">
        <w:rPr>
          <w:b/>
          <w:sz w:val="22"/>
          <w:szCs w:val="22"/>
        </w:rPr>
        <w:t>202</w:t>
      </w:r>
      <w:r w:rsidR="004521A5">
        <w:rPr>
          <w:b/>
          <w:sz w:val="22"/>
          <w:szCs w:val="22"/>
        </w:rPr>
        <w:t>2</w:t>
      </w:r>
    </w:p>
    <w:p w14:paraId="451A15A8" w14:textId="77777777" w:rsidR="00A81DCD" w:rsidRPr="00501AD3" w:rsidRDefault="00A81DCD" w:rsidP="00A81DCD">
      <w:pPr>
        <w:jc w:val="center"/>
        <w:outlineLvl w:val="0"/>
        <w:rPr>
          <w:b/>
          <w:sz w:val="22"/>
          <w:szCs w:val="22"/>
        </w:rPr>
      </w:pPr>
    </w:p>
    <w:p w14:paraId="14BDAA1F" w14:textId="77777777" w:rsidR="00A81DCD" w:rsidRPr="00501AD3" w:rsidRDefault="00A81DCD" w:rsidP="00A81DCD">
      <w:pPr>
        <w:jc w:val="center"/>
        <w:outlineLvl w:val="0"/>
        <w:rPr>
          <w:b/>
          <w:sz w:val="22"/>
          <w:szCs w:val="22"/>
        </w:rPr>
      </w:pPr>
      <w:bookmarkStart w:id="2" w:name="_Hlk35264927"/>
      <w:r w:rsidRPr="00501AD3">
        <w:rPr>
          <w:b/>
          <w:sz w:val="22"/>
          <w:szCs w:val="22"/>
        </w:rPr>
        <w:t xml:space="preserve">TABLE OF CONTENTS  </w:t>
      </w:r>
    </w:p>
    <w:p w14:paraId="4B3423CE" w14:textId="77777777" w:rsidR="00A81DCD" w:rsidRPr="00501AD3" w:rsidRDefault="00A81DCD" w:rsidP="00A81DCD">
      <w:pPr>
        <w:rPr>
          <w:b/>
          <w:sz w:val="22"/>
          <w:szCs w:val="22"/>
        </w:rPr>
      </w:pPr>
    </w:p>
    <w:p w14:paraId="2A4E66AF" w14:textId="77777777" w:rsidR="00A81DCD" w:rsidRPr="00501AD3" w:rsidRDefault="00A81DCD" w:rsidP="00A81DCD">
      <w:pPr>
        <w:jc w:val="center"/>
        <w:outlineLvl w:val="0"/>
        <w:rPr>
          <w:b/>
          <w:sz w:val="22"/>
          <w:szCs w:val="22"/>
        </w:rPr>
      </w:pPr>
      <w:r w:rsidRPr="00501AD3">
        <w:rPr>
          <w:b/>
          <w:sz w:val="22"/>
          <w:szCs w:val="22"/>
        </w:rPr>
        <w:t>Part I</w:t>
      </w:r>
    </w:p>
    <w:tbl>
      <w:tblPr>
        <w:tblW w:w="10008" w:type="dxa"/>
        <w:tblLook w:val="01E0" w:firstRow="1" w:lastRow="1" w:firstColumn="1" w:lastColumn="1" w:noHBand="0" w:noVBand="0"/>
      </w:tblPr>
      <w:tblGrid>
        <w:gridCol w:w="1230"/>
        <w:gridCol w:w="7522"/>
        <w:gridCol w:w="1256"/>
      </w:tblGrid>
      <w:tr w:rsidR="009E3590" w:rsidRPr="00867AD0" w14:paraId="220721A9" w14:textId="77777777" w:rsidTr="00D72474">
        <w:tc>
          <w:tcPr>
            <w:tcW w:w="1230" w:type="dxa"/>
          </w:tcPr>
          <w:p w14:paraId="1CC6210B" w14:textId="77777777" w:rsidR="00A81DCD" w:rsidRPr="00501AD3" w:rsidRDefault="00A81DCD" w:rsidP="00A71198">
            <w:pPr>
              <w:rPr>
                <w:sz w:val="22"/>
                <w:szCs w:val="22"/>
              </w:rPr>
            </w:pPr>
          </w:p>
        </w:tc>
        <w:tc>
          <w:tcPr>
            <w:tcW w:w="7522" w:type="dxa"/>
          </w:tcPr>
          <w:p w14:paraId="77EE51D3" w14:textId="77777777" w:rsidR="00A81DCD" w:rsidRPr="00501AD3" w:rsidRDefault="00A81DCD" w:rsidP="00A71198">
            <w:pPr>
              <w:rPr>
                <w:sz w:val="22"/>
                <w:szCs w:val="22"/>
              </w:rPr>
            </w:pPr>
          </w:p>
        </w:tc>
        <w:tc>
          <w:tcPr>
            <w:tcW w:w="1256" w:type="dxa"/>
          </w:tcPr>
          <w:p w14:paraId="0CC5F9A7" w14:textId="77777777" w:rsidR="00A81DCD" w:rsidRPr="00501AD3" w:rsidRDefault="00A81DCD" w:rsidP="00A71198">
            <w:pPr>
              <w:jc w:val="center"/>
              <w:rPr>
                <w:b/>
                <w:sz w:val="22"/>
                <w:szCs w:val="22"/>
              </w:rPr>
            </w:pPr>
            <w:r w:rsidRPr="00501AD3">
              <w:rPr>
                <w:b/>
                <w:sz w:val="22"/>
                <w:szCs w:val="22"/>
              </w:rPr>
              <w:t>Page</w:t>
            </w:r>
          </w:p>
        </w:tc>
      </w:tr>
      <w:tr w:rsidR="009E3590" w:rsidRPr="00867AD0" w14:paraId="1232407D" w14:textId="77777777" w:rsidTr="00D72474">
        <w:tc>
          <w:tcPr>
            <w:tcW w:w="1230" w:type="dxa"/>
          </w:tcPr>
          <w:p w14:paraId="06A30765" w14:textId="77777777" w:rsidR="00A81DCD" w:rsidRPr="00501AD3" w:rsidRDefault="00A81DCD" w:rsidP="00A71198">
            <w:pPr>
              <w:rPr>
                <w:sz w:val="22"/>
                <w:szCs w:val="22"/>
              </w:rPr>
            </w:pPr>
            <w:r w:rsidRPr="00501AD3">
              <w:rPr>
                <w:sz w:val="22"/>
                <w:szCs w:val="22"/>
              </w:rPr>
              <w:t>Item 1.</w:t>
            </w:r>
          </w:p>
        </w:tc>
        <w:tc>
          <w:tcPr>
            <w:tcW w:w="7522" w:type="dxa"/>
          </w:tcPr>
          <w:p w14:paraId="375F6D9B" w14:textId="77777777" w:rsidR="00A81DCD" w:rsidRPr="00501AD3" w:rsidRDefault="00A81DCD" w:rsidP="00A71198">
            <w:pPr>
              <w:rPr>
                <w:sz w:val="22"/>
                <w:szCs w:val="22"/>
              </w:rPr>
            </w:pPr>
            <w:r w:rsidRPr="00501AD3">
              <w:rPr>
                <w:sz w:val="22"/>
                <w:szCs w:val="22"/>
              </w:rPr>
              <w:t>Business</w:t>
            </w:r>
          </w:p>
        </w:tc>
        <w:tc>
          <w:tcPr>
            <w:tcW w:w="1256" w:type="dxa"/>
          </w:tcPr>
          <w:p w14:paraId="62FCAAD3" w14:textId="1E7B6AEF" w:rsidR="00A81DCD" w:rsidRPr="00501AD3" w:rsidRDefault="00C27909" w:rsidP="00A71198">
            <w:pPr>
              <w:ind w:right="224"/>
              <w:jc w:val="right"/>
              <w:rPr>
                <w:sz w:val="22"/>
                <w:szCs w:val="22"/>
              </w:rPr>
            </w:pPr>
            <w:r w:rsidRPr="00501AD3">
              <w:rPr>
                <w:sz w:val="22"/>
                <w:szCs w:val="22"/>
              </w:rPr>
              <w:t>4</w:t>
            </w:r>
          </w:p>
        </w:tc>
      </w:tr>
      <w:tr w:rsidR="009E3590" w:rsidRPr="00867AD0" w14:paraId="21E20F16" w14:textId="77777777" w:rsidTr="00D72474">
        <w:tc>
          <w:tcPr>
            <w:tcW w:w="1230" w:type="dxa"/>
          </w:tcPr>
          <w:p w14:paraId="2CE0BB1A" w14:textId="77777777" w:rsidR="00A81DCD" w:rsidRPr="00501AD3" w:rsidRDefault="00A81DCD" w:rsidP="00A71198">
            <w:pPr>
              <w:rPr>
                <w:sz w:val="22"/>
                <w:szCs w:val="22"/>
              </w:rPr>
            </w:pPr>
            <w:r w:rsidRPr="00501AD3">
              <w:rPr>
                <w:sz w:val="22"/>
                <w:szCs w:val="22"/>
              </w:rPr>
              <w:t>Item 1A.</w:t>
            </w:r>
          </w:p>
        </w:tc>
        <w:tc>
          <w:tcPr>
            <w:tcW w:w="7522" w:type="dxa"/>
          </w:tcPr>
          <w:p w14:paraId="4476970E" w14:textId="77777777" w:rsidR="00A81DCD" w:rsidRPr="00501AD3" w:rsidRDefault="00A81DCD" w:rsidP="00A71198">
            <w:pPr>
              <w:rPr>
                <w:sz w:val="22"/>
                <w:szCs w:val="22"/>
              </w:rPr>
            </w:pPr>
            <w:r w:rsidRPr="00501AD3">
              <w:rPr>
                <w:sz w:val="22"/>
                <w:szCs w:val="22"/>
              </w:rPr>
              <w:t>Risk Factors</w:t>
            </w:r>
          </w:p>
        </w:tc>
        <w:tc>
          <w:tcPr>
            <w:tcW w:w="1256" w:type="dxa"/>
          </w:tcPr>
          <w:p w14:paraId="148DE049" w14:textId="75005FAC" w:rsidR="00A81DCD" w:rsidRPr="00501AD3" w:rsidRDefault="005755E5" w:rsidP="00A71198">
            <w:pPr>
              <w:ind w:right="224"/>
              <w:jc w:val="right"/>
              <w:rPr>
                <w:sz w:val="22"/>
                <w:szCs w:val="22"/>
              </w:rPr>
            </w:pPr>
            <w:r w:rsidRPr="00501AD3">
              <w:rPr>
                <w:sz w:val="22"/>
                <w:szCs w:val="22"/>
              </w:rPr>
              <w:t>1</w:t>
            </w:r>
            <w:r w:rsidR="00F9053F">
              <w:rPr>
                <w:sz w:val="22"/>
                <w:szCs w:val="22"/>
              </w:rPr>
              <w:t>5</w:t>
            </w:r>
          </w:p>
        </w:tc>
      </w:tr>
      <w:tr w:rsidR="009E3590" w:rsidRPr="00867AD0" w14:paraId="75D48D5C" w14:textId="77777777" w:rsidTr="00D72474">
        <w:tc>
          <w:tcPr>
            <w:tcW w:w="1230" w:type="dxa"/>
          </w:tcPr>
          <w:p w14:paraId="78698C2A" w14:textId="77777777" w:rsidR="00A81DCD" w:rsidRPr="00501AD3" w:rsidRDefault="00A81DCD" w:rsidP="00A71198">
            <w:pPr>
              <w:rPr>
                <w:sz w:val="22"/>
                <w:szCs w:val="22"/>
              </w:rPr>
            </w:pPr>
            <w:r w:rsidRPr="00501AD3">
              <w:rPr>
                <w:sz w:val="22"/>
                <w:szCs w:val="22"/>
              </w:rPr>
              <w:t>Item 1B.</w:t>
            </w:r>
          </w:p>
        </w:tc>
        <w:tc>
          <w:tcPr>
            <w:tcW w:w="7522" w:type="dxa"/>
          </w:tcPr>
          <w:p w14:paraId="04332AE9" w14:textId="77777777" w:rsidR="00A81DCD" w:rsidRPr="00501AD3" w:rsidRDefault="00A81DCD" w:rsidP="00A71198">
            <w:pPr>
              <w:rPr>
                <w:sz w:val="22"/>
                <w:szCs w:val="22"/>
              </w:rPr>
            </w:pPr>
            <w:r w:rsidRPr="00501AD3">
              <w:rPr>
                <w:sz w:val="22"/>
                <w:szCs w:val="22"/>
              </w:rPr>
              <w:t>Unresolved Staff Comments</w:t>
            </w:r>
          </w:p>
        </w:tc>
        <w:tc>
          <w:tcPr>
            <w:tcW w:w="1256" w:type="dxa"/>
          </w:tcPr>
          <w:p w14:paraId="3A01E5AA" w14:textId="2A634C89" w:rsidR="00A81DCD" w:rsidRPr="00501AD3" w:rsidRDefault="006B7D3B" w:rsidP="00A71198">
            <w:pPr>
              <w:ind w:right="224"/>
              <w:jc w:val="right"/>
              <w:rPr>
                <w:sz w:val="22"/>
                <w:szCs w:val="22"/>
              </w:rPr>
            </w:pPr>
            <w:r w:rsidRPr="00501AD3">
              <w:rPr>
                <w:sz w:val="22"/>
                <w:szCs w:val="22"/>
              </w:rPr>
              <w:t>2</w:t>
            </w:r>
            <w:r w:rsidR="00F9053F">
              <w:rPr>
                <w:sz w:val="22"/>
                <w:szCs w:val="22"/>
              </w:rPr>
              <w:t>8</w:t>
            </w:r>
          </w:p>
        </w:tc>
      </w:tr>
      <w:tr w:rsidR="009E3590" w:rsidRPr="00867AD0" w14:paraId="0199D68C" w14:textId="77777777" w:rsidTr="00D72474">
        <w:tc>
          <w:tcPr>
            <w:tcW w:w="1230" w:type="dxa"/>
          </w:tcPr>
          <w:p w14:paraId="7640041F" w14:textId="77777777" w:rsidR="00A81DCD" w:rsidRPr="00501AD3" w:rsidRDefault="00A81DCD" w:rsidP="00A71198">
            <w:pPr>
              <w:rPr>
                <w:sz w:val="22"/>
                <w:szCs w:val="22"/>
              </w:rPr>
            </w:pPr>
            <w:r w:rsidRPr="00501AD3">
              <w:rPr>
                <w:sz w:val="22"/>
                <w:szCs w:val="22"/>
              </w:rPr>
              <w:t>Item 2.</w:t>
            </w:r>
          </w:p>
        </w:tc>
        <w:tc>
          <w:tcPr>
            <w:tcW w:w="7522" w:type="dxa"/>
          </w:tcPr>
          <w:p w14:paraId="10EB034A" w14:textId="77777777" w:rsidR="00A81DCD" w:rsidRPr="00501AD3" w:rsidRDefault="00A81DCD" w:rsidP="00A71198">
            <w:pPr>
              <w:rPr>
                <w:sz w:val="22"/>
                <w:szCs w:val="22"/>
              </w:rPr>
            </w:pPr>
            <w:r w:rsidRPr="00501AD3">
              <w:rPr>
                <w:sz w:val="22"/>
                <w:szCs w:val="22"/>
              </w:rPr>
              <w:t>Properties</w:t>
            </w:r>
          </w:p>
        </w:tc>
        <w:tc>
          <w:tcPr>
            <w:tcW w:w="1256" w:type="dxa"/>
          </w:tcPr>
          <w:p w14:paraId="22E9E243" w14:textId="3E7BF1C5" w:rsidR="00A81DCD" w:rsidRPr="00501AD3" w:rsidRDefault="006B7D3B" w:rsidP="00A71198">
            <w:pPr>
              <w:ind w:right="224"/>
              <w:jc w:val="right"/>
              <w:rPr>
                <w:sz w:val="22"/>
                <w:szCs w:val="22"/>
              </w:rPr>
            </w:pPr>
            <w:r w:rsidRPr="00501AD3">
              <w:rPr>
                <w:sz w:val="22"/>
                <w:szCs w:val="22"/>
              </w:rPr>
              <w:t>2</w:t>
            </w:r>
            <w:r w:rsidR="00F9053F">
              <w:rPr>
                <w:sz w:val="22"/>
                <w:szCs w:val="22"/>
              </w:rPr>
              <w:t>8</w:t>
            </w:r>
          </w:p>
        </w:tc>
      </w:tr>
      <w:tr w:rsidR="009E3590" w:rsidRPr="00867AD0" w14:paraId="606D584F" w14:textId="77777777" w:rsidTr="00D72474">
        <w:tc>
          <w:tcPr>
            <w:tcW w:w="1230" w:type="dxa"/>
          </w:tcPr>
          <w:p w14:paraId="05C860CD" w14:textId="77777777" w:rsidR="00A81DCD" w:rsidRPr="00501AD3" w:rsidRDefault="00A81DCD" w:rsidP="00A71198">
            <w:pPr>
              <w:rPr>
                <w:sz w:val="22"/>
                <w:szCs w:val="22"/>
              </w:rPr>
            </w:pPr>
            <w:r w:rsidRPr="00501AD3">
              <w:rPr>
                <w:sz w:val="22"/>
                <w:szCs w:val="22"/>
              </w:rPr>
              <w:t>Item 3.</w:t>
            </w:r>
          </w:p>
        </w:tc>
        <w:tc>
          <w:tcPr>
            <w:tcW w:w="7522" w:type="dxa"/>
          </w:tcPr>
          <w:p w14:paraId="733644D4" w14:textId="77777777" w:rsidR="00A81DCD" w:rsidRPr="00501AD3" w:rsidRDefault="00A81DCD" w:rsidP="00A71198">
            <w:pPr>
              <w:rPr>
                <w:sz w:val="22"/>
                <w:szCs w:val="22"/>
              </w:rPr>
            </w:pPr>
            <w:r w:rsidRPr="00501AD3">
              <w:rPr>
                <w:sz w:val="22"/>
                <w:szCs w:val="22"/>
              </w:rPr>
              <w:t>Legal Proceedings</w:t>
            </w:r>
          </w:p>
        </w:tc>
        <w:tc>
          <w:tcPr>
            <w:tcW w:w="1256" w:type="dxa"/>
          </w:tcPr>
          <w:p w14:paraId="03FB72BC" w14:textId="33F6EFC7" w:rsidR="00A81DCD" w:rsidRPr="00501AD3" w:rsidRDefault="006B7D3B" w:rsidP="00A71198">
            <w:pPr>
              <w:ind w:right="224"/>
              <w:jc w:val="right"/>
              <w:rPr>
                <w:sz w:val="22"/>
                <w:szCs w:val="22"/>
              </w:rPr>
            </w:pPr>
            <w:r w:rsidRPr="00501AD3">
              <w:rPr>
                <w:sz w:val="22"/>
                <w:szCs w:val="22"/>
              </w:rPr>
              <w:t>2</w:t>
            </w:r>
            <w:r w:rsidR="00F9053F">
              <w:rPr>
                <w:sz w:val="22"/>
                <w:szCs w:val="22"/>
              </w:rPr>
              <w:t>8</w:t>
            </w:r>
          </w:p>
        </w:tc>
      </w:tr>
      <w:tr w:rsidR="009E3590" w:rsidRPr="00867AD0" w14:paraId="03DF68EF" w14:textId="77777777" w:rsidTr="00D72474">
        <w:tc>
          <w:tcPr>
            <w:tcW w:w="1230" w:type="dxa"/>
          </w:tcPr>
          <w:p w14:paraId="5DE1A983" w14:textId="77777777" w:rsidR="00A81DCD" w:rsidRPr="00501AD3" w:rsidRDefault="00A81DCD" w:rsidP="00A71198">
            <w:pPr>
              <w:rPr>
                <w:sz w:val="22"/>
                <w:szCs w:val="22"/>
              </w:rPr>
            </w:pPr>
            <w:r w:rsidRPr="00501AD3">
              <w:rPr>
                <w:sz w:val="22"/>
                <w:szCs w:val="22"/>
              </w:rPr>
              <w:t>Item 4.</w:t>
            </w:r>
          </w:p>
        </w:tc>
        <w:tc>
          <w:tcPr>
            <w:tcW w:w="7522" w:type="dxa"/>
          </w:tcPr>
          <w:p w14:paraId="3530E620" w14:textId="77777777" w:rsidR="00A81DCD" w:rsidRPr="00501AD3" w:rsidRDefault="00A81DCD" w:rsidP="00A71198">
            <w:pPr>
              <w:rPr>
                <w:sz w:val="22"/>
                <w:szCs w:val="22"/>
              </w:rPr>
            </w:pPr>
            <w:r w:rsidRPr="00501AD3">
              <w:rPr>
                <w:sz w:val="22"/>
                <w:szCs w:val="22"/>
              </w:rPr>
              <w:t>Mine Safety Disclosures</w:t>
            </w:r>
          </w:p>
        </w:tc>
        <w:tc>
          <w:tcPr>
            <w:tcW w:w="1256" w:type="dxa"/>
          </w:tcPr>
          <w:p w14:paraId="2FF923CE" w14:textId="23597DA3" w:rsidR="00A81DCD" w:rsidRPr="00501AD3" w:rsidRDefault="005755E5" w:rsidP="00A71198">
            <w:pPr>
              <w:ind w:right="224"/>
              <w:jc w:val="right"/>
              <w:rPr>
                <w:sz w:val="22"/>
                <w:szCs w:val="22"/>
              </w:rPr>
            </w:pPr>
            <w:r w:rsidRPr="00501AD3">
              <w:rPr>
                <w:sz w:val="22"/>
                <w:szCs w:val="22"/>
              </w:rPr>
              <w:t>2</w:t>
            </w:r>
            <w:r w:rsidR="00F9053F">
              <w:rPr>
                <w:sz w:val="22"/>
                <w:szCs w:val="22"/>
              </w:rPr>
              <w:t>8</w:t>
            </w:r>
          </w:p>
        </w:tc>
      </w:tr>
      <w:tr w:rsidR="009E3590" w:rsidRPr="00867AD0" w14:paraId="69DBDEA8" w14:textId="77777777" w:rsidTr="00D72474">
        <w:tc>
          <w:tcPr>
            <w:tcW w:w="1230" w:type="dxa"/>
          </w:tcPr>
          <w:p w14:paraId="2CC95D29" w14:textId="77777777" w:rsidR="00A81DCD" w:rsidRPr="00501AD3" w:rsidRDefault="00A81DCD" w:rsidP="00A71198">
            <w:pPr>
              <w:rPr>
                <w:b/>
                <w:sz w:val="22"/>
                <w:szCs w:val="22"/>
              </w:rPr>
            </w:pPr>
          </w:p>
        </w:tc>
        <w:tc>
          <w:tcPr>
            <w:tcW w:w="7522" w:type="dxa"/>
          </w:tcPr>
          <w:p w14:paraId="4407BA8C" w14:textId="77777777" w:rsidR="00A81DCD" w:rsidRPr="00501AD3" w:rsidRDefault="00A81DCD" w:rsidP="00A71198">
            <w:pPr>
              <w:rPr>
                <w:b/>
                <w:sz w:val="22"/>
                <w:szCs w:val="22"/>
              </w:rPr>
            </w:pPr>
          </w:p>
          <w:p w14:paraId="778C5FBA" w14:textId="77777777" w:rsidR="00A81DCD" w:rsidRPr="00501AD3" w:rsidRDefault="00A81DCD" w:rsidP="00A71198">
            <w:pPr>
              <w:jc w:val="center"/>
              <w:rPr>
                <w:b/>
                <w:sz w:val="22"/>
                <w:szCs w:val="22"/>
              </w:rPr>
            </w:pPr>
            <w:r w:rsidRPr="00501AD3">
              <w:rPr>
                <w:b/>
                <w:sz w:val="22"/>
                <w:szCs w:val="22"/>
              </w:rPr>
              <w:t>Part II</w:t>
            </w:r>
          </w:p>
        </w:tc>
        <w:tc>
          <w:tcPr>
            <w:tcW w:w="1256" w:type="dxa"/>
          </w:tcPr>
          <w:p w14:paraId="5F415EBA" w14:textId="77777777" w:rsidR="00A81DCD" w:rsidRPr="00501AD3" w:rsidRDefault="00A81DCD" w:rsidP="00A71198">
            <w:pPr>
              <w:ind w:right="224"/>
              <w:jc w:val="right"/>
              <w:rPr>
                <w:b/>
                <w:sz w:val="22"/>
                <w:szCs w:val="22"/>
              </w:rPr>
            </w:pPr>
          </w:p>
        </w:tc>
      </w:tr>
      <w:tr w:rsidR="009E3590" w:rsidRPr="00867AD0" w14:paraId="0DCDC645" w14:textId="77777777" w:rsidTr="00D72474">
        <w:tc>
          <w:tcPr>
            <w:tcW w:w="1230" w:type="dxa"/>
          </w:tcPr>
          <w:p w14:paraId="32F9D21C" w14:textId="77777777" w:rsidR="00A81DCD" w:rsidRPr="00501AD3" w:rsidRDefault="00A81DCD" w:rsidP="00A71198">
            <w:pPr>
              <w:rPr>
                <w:sz w:val="22"/>
                <w:szCs w:val="22"/>
              </w:rPr>
            </w:pPr>
            <w:r w:rsidRPr="00501AD3">
              <w:rPr>
                <w:sz w:val="22"/>
                <w:szCs w:val="22"/>
              </w:rPr>
              <w:t>Item 5.</w:t>
            </w:r>
          </w:p>
          <w:p w14:paraId="34FE5869" w14:textId="77777777" w:rsidR="00A81DCD" w:rsidRPr="00501AD3" w:rsidRDefault="00A81DCD" w:rsidP="00A71198">
            <w:pPr>
              <w:rPr>
                <w:sz w:val="22"/>
                <w:szCs w:val="22"/>
              </w:rPr>
            </w:pPr>
          </w:p>
          <w:p w14:paraId="1C927EA0" w14:textId="77777777" w:rsidR="00A81DCD" w:rsidRPr="00501AD3" w:rsidRDefault="00A81DCD" w:rsidP="00A71198">
            <w:pPr>
              <w:rPr>
                <w:sz w:val="22"/>
                <w:szCs w:val="22"/>
              </w:rPr>
            </w:pPr>
            <w:r w:rsidRPr="00501AD3">
              <w:rPr>
                <w:sz w:val="22"/>
                <w:szCs w:val="22"/>
              </w:rPr>
              <w:t>Item 6.</w:t>
            </w:r>
          </w:p>
        </w:tc>
        <w:tc>
          <w:tcPr>
            <w:tcW w:w="7522" w:type="dxa"/>
          </w:tcPr>
          <w:p w14:paraId="3B1088BB" w14:textId="77777777" w:rsidR="00A81DCD" w:rsidRPr="00501AD3" w:rsidRDefault="00A81DCD" w:rsidP="00A71198">
            <w:pPr>
              <w:rPr>
                <w:sz w:val="22"/>
                <w:szCs w:val="22"/>
              </w:rPr>
            </w:pPr>
            <w:r w:rsidRPr="00501AD3">
              <w:rPr>
                <w:sz w:val="22"/>
                <w:szCs w:val="22"/>
              </w:rPr>
              <w:t>Market for Registrant’s Common Equity, Related Stockholder Matters and Issuer Purchases of Equity Securities</w:t>
            </w:r>
          </w:p>
          <w:p w14:paraId="045A4827" w14:textId="29F07818" w:rsidR="00A81DCD" w:rsidRPr="00501AD3" w:rsidRDefault="0079012A" w:rsidP="00A71198">
            <w:pPr>
              <w:rPr>
                <w:sz w:val="22"/>
                <w:szCs w:val="22"/>
              </w:rPr>
            </w:pPr>
            <w:r w:rsidRPr="00501AD3">
              <w:rPr>
                <w:sz w:val="22"/>
                <w:szCs w:val="22"/>
              </w:rPr>
              <w:t>[</w:t>
            </w:r>
            <w:r w:rsidR="00BE6171" w:rsidRPr="00501AD3">
              <w:rPr>
                <w:sz w:val="22"/>
                <w:szCs w:val="22"/>
              </w:rPr>
              <w:t>Reserved</w:t>
            </w:r>
            <w:r w:rsidRPr="00501AD3">
              <w:rPr>
                <w:sz w:val="22"/>
                <w:szCs w:val="22"/>
              </w:rPr>
              <w:t>]</w:t>
            </w:r>
          </w:p>
        </w:tc>
        <w:tc>
          <w:tcPr>
            <w:tcW w:w="1256" w:type="dxa"/>
          </w:tcPr>
          <w:p w14:paraId="168EA7F5" w14:textId="77777777" w:rsidR="00A81DCD" w:rsidRPr="00501AD3" w:rsidRDefault="00A81DCD" w:rsidP="00A71198">
            <w:pPr>
              <w:ind w:right="224"/>
              <w:jc w:val="right"/>
              <w:rPr>
                <w:sz w:val="22"/>
                <w:szCs w:val="22"/>
              </w:rPr>
            </w:pPr>
          </w:p>
          <w:p w14:paraId="79CE26C9" w14:textId="3B358F9C" w:rsidR="00A81DCD" w:rsidRPr="00501AD3" w:rsidRDefault="003F55BA" w:rsidP="00A71198">
            <w:pPr>
              <w:ind w:right="224"/>
              <w:jc w:val="right"/>
              <w:rPr>
                <w:sz w:val="22"/>
                <w:szCs w:val="22"/>
              </w:rPr>
            </w:pPr>
            <w:r w:rsidRPr="00501AD3">
              <w:rPr>
                <w:sz w:val="22"/>
                <w:szCs w:val="22"/>
              </w:rPr>
              <w:t>2</w:t>
            </w:r>
            <w:r w:rsidR="00F9053F">
              <w:rPr>
                <w:sz w:val="22"/>
                <w:szCs w:val="22"/>
              </w:rPr>
              <w:t>8</w:t>
            </w:r>
          </w:p>
          <w:p w14:paraId="74B2E37A" w14:textId="10D332C2" w:rsidR="00A81DCD" w:rsidRPr="00501AD3" w:rsidRDefault="00B2339D" w:rsidP="00A71198">
            <w:pPr>
              <w:ind w:right="224"/>
              <w:jc w:val="right"/>
              <w:rPr>
                <w:sz w:val="22"/>
                <w:szCs w:val="22"/>
              </w:rPr>
            </w:pPr>
            <w:r w:rsidRPr="00501AD3">
              <w:rPr>
                <w:sz w:val="22"/>
                <w:szCs w:val="22"/>
              </w:rPr>
              <w:t>2</w:t>
            </w:r>
            <w:r w:rsidR="00F9053F">
              <w:rPr>
                <w:sz w:val="22"/>
                <w:szCs w:val="22"/>
              </w:rPr>
              <w:t>9</w:t>
            </w:r>
          </w:p>
        </w:tc>
      </w:tr>
      <w:tr w:rsidR="009E3590" w:rsidRPr="00867AD0" w14:paraId="6B250901" w14:textId="77777777" w:rsidTr="00D72474">
        <w:tc>
          <w:tcPr>
            <w:tcW w:w="1230" w:type="dxa"/>
          </w:tcPr>
          <w:p w14:paraId="2A3BFDCA" w14:textId="77777777" w:rsidR="00A81DCD" w:rsidRPr="00501AD3" w:rsidRDefault="00A81DCD" w:rsidP="00A71198">
            <w:pPr>
              <w:rPr>
                <w:sz w:val="22"/>
                <w:szCs w:val="22"/>
              </w:rPr>
            </w:pPr>
            <w:r w:rsidRPr="00501AD3">
              <w:rPr>
                <w:sz w:val="22"/>
                <w:szCs w:val="22"/>
              </w:rPr>
              <w:t>Item 7.</w:t>
            </w:r>
          </w:p>
        </w:tc>
        <w:tc>
          <w:tcPr>
            <w:tcW w:w="7522" w:type="dxa"/>
          </w:tcPr>
          <w:p w14:paraId="5A83F51D" w14:textId="77777777" w:rsidR="00A81DCD" w:rsidRPr="00501AD3" w:rsidRDefault="00A81DCD" w:rsidP="00A71198">
            <w:pPr>
              <w:rPr>
                <w:sz w:val="22"/>
                <w:szCs w:val="22"/>
              </w:rPr>
            </w:pPr>
            <w:r w:rsidRPr="00501AD3">
              <w:rPr>
                <w:sz w:val="22"/>
                <w:szCs w:val="22"/>
              </w:rPr>
              <w:t>Management’s Discussion and Analysis of Financial Condition and Results of Operations</w:t>
            </w:r>
          </w:p>
        </w:tc>
        <w:tc>
          <w:tcPr>
            <w:tcW w:w="1256" w:type="dxa"/>
          </w:tcPr>
          <w:p w14:paraId="135F455C" w14:textId="77777777" w:rsidR="00A81DCD" w:rsidRPr="00501AD3" w:rsidRDefault="00A81DCD" w:rsidP="00A71198">
            <w:pPr>
              <w:ind w:right="224"/>
              <w:jc w:val="right"/>
              <w:rPr>
                <w:sz w:val="22"/>
                <w:szCs w:val="22"/>
              </w:rPr>
            </w:pPr>
          </w:p>
          <w:p w14:paraId="48F49C82" w14:textId="114F0336" w:rsidR="00A81DCD" w:rsidRPr="00501AD3" w:rsidRDefault="00B2339D" w:rsidP="00A71198">
            <w:pPr>
              <w:ind w:right="224"/>
              <w:jc w:val="right"/>
              <w:rPr>
                <w:sz w:val="22"/>
                <w:szCs w:val="22"/>
              </w:rPr>
            </w:pPr>
            <w:r w:rsidRPr="00501AD3">
              <w:rPr>
                <w:sz w:val="22"/>
                <w:szCs w:val="22"/>
              </w:rPr>
              <w:t>2</w:t>
            </w:r>
            <w:r w:rsidR="00F9053F">
              <w:rPr>
                <w:sz w:val="22"/>
                <w:szCs w:val="22"/>
              </w:rPr>
              <w:t>9</w:t>
            </w:r>
          </w:p>
        </w:tc>
      </w:tr>
      <w:tr w:rsidR="009E3590" w:rsidRPr="00867AD0" w14:paraId="7E3131B0" w14:textId="77777777" w:rsidTr="00D72474">
        <w:tc>
          <w:tcPr>
            <w:tcW w:w="1230" w:type="dxa"/>
          </w:tcPr>
          <w:p w14:paraId="06D76D25" w14:textId="77777777" w:rsidR="00A81DCD" w:rsidRPr="00501AD3" w:rsidRDefault="00A81DCD" w:rsidP="00A71198">
            <w:pPr>
              <w:rPr>
                <w:sz w:val="22"/>
                <w:szCs w:val="22"/>
              </w:rPr>
            </w:pPr>
            <w:r w:rsidRPr="00501AD3">
              <w:rPr>
                <w:sz w:val="22"/>
                <w:szCs w:val="22"/>
              </w:rPr>
              <w:t>Item 7A.</w:t>
            </w:r>
          </w:p>
        </w:tc>
        <w:tc>
          <w:tcPr>
            <w:tcW w:w="7522" w:type="dxa"/>
          </w:tcPr>
          <w:p w14:paraId="1182C8A3" w14:textId="77777777" w:rsidR="00A81DCD" w:rsidRPr="00501AD3" w:rsidRDefault="00A81DCD" w:rsidP="00A71198">
            <w:pPr>
              <w:rPr>
                <w:sz w:val="22"/>
                <w:szCs w:val="22"/>
              </w:rPr>
            </w:pPr>
            <w:r w:rsidRPr="00501AD3">
              <w:rPr>
                <w:sz w:val="22"/>
                <w:szCs w:val="22"/>
              </w:rPr>
              <w:t>Quantitative and Qualitative Disclosures about Market Risk</w:t>
            </w:r>
          </w:p>
        </w:tc>
        <w:tc>
          <w:tcPr>
            <w:tcW w:w="1256" w:type="dxa"/>
          </w:tcPr>
          <w:p w14:paraId="6157BE6C" w14:textId="1F3AF414" w:rsidR="00A81DCD" w:rsidRPr="00501AD3" w:rsidRDefault="00F9053F" w:rsidP="00A71198">
            <w:pPr>
              <w:ind w:right="224"/>
              <w:jc w:val="right"/>
              <w:rPr>
                <w:sz w:val="22"/>
                <w:szCs w:val="22"/>
              </w:rPr>
            </w:pPr>
            <w:r>
              <w:rPr>
                <w:sz w:val="22"/>
                <w:szCs w:val="22"/>
              </w:rPr>
              <w:t>40</w:t>
            </w:r>
          </w:p>
        </w:tc>
      </w:tr>
      <w:tr w:rsidR="009E3590" w:rsidRPr="00867AD0" w14:paraId="0D96EEB0" w14:textId="77777777" w:rsidTr="00D72474">
        <w:tc>
          <w:tcPr>
            <w:tcW w:w="1230" w:type="dxa"/>
          </w:tcPr>
          <w:p w14:paraId="404C21D3" w14:textId="77777777" w:rsidR="00A81DCD" w:rsidRPr="00501AD3" w:rsidRDefault="00A81DCD" w:rsidP="00A71198">
            <w:pPr>
              <w:rPr>
                <w:sz w:val="22"/>
                <w:szCs w:val="22"/>
              </w:rPr>
            </w:pPr>
            <w:r w:rsidRPr="00501AD3">
              <w:rPr>
                <w:sz w:val="22"/>
                <w:szCs w:val="22"/>
              </w:rPr>
              <w:t>Item 8.</w:t>
            </w:r>
          </w:p>
        </w:tc>
        <w:tc>
          <w:tcPr>
            <w:tcW w:w="7522" w:type="dxa"/>
          </w:tcPr>
          <w:p w14:paraId="43BA8347" w14:textId="77777777" w:rsidR="00A81DCD" w:rsidRPr="00501AD3" w:rsidRDefault="00A81DCD" w:rsidP="00A71198">
            <w:pPr>
              <w:rPr>
                <w:sz w:val="22"/>
                <w:szCs w:val="22"/>
              </w:rPr>
            </w:pPr>
            <w:r w:rsidRPr="00501AD3">
              <w:rPr>
                <w:sz w:val="22"/>
                <w:szCs w:val="22"/>
              </w:rPr>
              <w:t>Financial Statements and Supplementary Data</w:t>
            </w:r>
          </w:p>
        </w:tc>
        <w:tc>
          <w:tcPr>
            <w:tcW w:w="1256" w:type="dxa"/>
          </w:tcPr>
          <w:p w14:paraId="654B1CA6" w14:textId="33B2655A" w:rsidR="00A81DCD" w:rsidRPr="00501AD3" w:rsidRDefault="00F9053F" w:rsidP="00A71198">
            <w:pPr>
              <w:ind w:right="224"/>
              <w:jc w:val="right"/>
              <w:rPr>
                <w:sz w:val="22"/>
                <w:szCs w:val="22"/>
              </w:rPr>
            </w:pPr>
            <w:r>
              <w:rPr>
                <w:sz w:val="22"/>
                <w:szCs w:val="22"/>
              </w:rPr>
              <w:t>40</w:t>
            </w:r>
          </w:p>
        </w:tc>
      </w:tr>
      <w:tr w:rsidR="009E3590" w:rsidRPr="00867AD0" w14:paraId="410B465B" w14:textId="77777777" w:rsidTr="00D72474">
        <w:tc>
          <w:tcPr>
            <w:tcW w:w="1230" w:type="dxa"/>
          </w:tcPr>
          <w:p w14:paraId="724F9C5E" w14:textId="77777777" w:rsidR="00A81DCD" w:rsidRPr="00501AD3" w:rsidRDefault="00A81DCD" w:rsidP="00A71198">
            <w:pPr>
              <w:rPr>
                <w:sz w:val="22"/>
                <w:szCs w:val="22"/>
              </w:rPr>
            </w:pPr>
            <w:r w:rsidRPr="00501AD3">
              <w:rPr>
                <w:sz w:val="22"/>
                <w:szCs w:val="22"/>
              </w:rPr>
              <w:t>Item 9.</w:t>
            </w:r>
          </w:p>
        </w:tc>
        <w:tc>
          <w:tcPr>
            <w:tcW w:w="7522" w:type="dxa"/>
          </w:tcPr>
          <w:p w14:paraId="732EB875" w14:textId="77777777" w:rsidR="00A81DCD" w:rsidRPr="00501AD3" w:rsidRDefault="00A81DCD" w:rsidP="00A71198">
            <w:pPr>
              <w:rPr>
                <w:sz w:val="22"/>
                <w:szCs w:val="22"/>
              </w:rPr>
            </w:pPr>
            <w:r w:rsidRPr="00501AD3">
              <w:rPr>
                <w:sz w:val="22"/>
                <w:szCs w:val="22"/>
              </w:rPr>
              <w:t xml:space="preserve">Changes in and Disagreements with Accountants on Accounting and Financial Disclosure </w:t>
            </w:r>
          </w:p>
        </w:tc>
        <w:tc>
          <w:tcPr>
            <w:tcW w:w="1256" w:type="dxa"/>
          </w:tcPr>
          <w:p w14:paraId="62675983" w14:textId="77777777" w:rsidR="00A81DCD" w:rsidRPr="00501AD3" w:rsidRDefault="00A81DCD" w:rsidP="00A71198">
            <w:pPr>
              <w:ind w:right="224"/>
              <w:jc w:val="right"/>
              <w:rPr>
                <w:sz w:val="22"/>
                <w:szCs w:val="22"/>
              </w:rPr>
            </w:pPr>
          </w:p>
          <w:p w14:paraId="31E1DDEB" w14:textId="5DE70F7A" w:rsidR="00A81DCD" w:rsidRPr="00501AD3" w:rsidRDefault="00F9053F" w:rsidP="00A71198">
            <w:pPr>
              <w:ind w:right="224"/>
              <w:jc w:val="right"/>
              <w:rPr>
                <w:sz w:val="22"/>
                <w:szCs w:val="22"/>
              </w:rPr>
            </w:pPr>
            <w:r>
              <w:rPr>
                <w:sz w:val="22"/>
                <w:szCs w:val="22"/>
              </w:rPr>
              <w:t>40</w:t>
            </w:r>
          </w:p>
        </w:tc>
      </w:tr>
      <w:tr w:rsidR="009E3590" w:rsidRPr="00867AD0" w14:paraId="6125BE13" w14:textId="77777777" w:rsidTr="00D72474">
        <w:tc>
          <w:tcPr>
            <w:tcW w:w="1230" w:type="dxa"/>
          </w:tcPr>
          <w:p w14:paraId="6896DD8F" w14:textId="77777777" w:rsidR="00A81DCD" w:rsidRPr="00501AD3" w:rsidRDefault="00A81DCD" w:rsidP="00A71198">
            <w:pPr>
              <w:rPr>
                <w:sz w:val="22"/>
                <w:szCs w:val="22"/>
              </w:rPr>
            </w:pPr>
            <w:r w:rsidRPr="00501AD3">
              <w:rPr>
                <w:sz w:val="22"/>
                <w:szCs w:val="22"/>
              </w:rPr>
              <w:t>Item 9A.</w:t>
            </w:r>
          </w:p>
        </w:tc>
        <w:tc>
          <w:tcPr>
            <w:tcW w:w="7522" w:type="dxa"/>
          </w:tcPr>
          <w:p w14:paraId="13820BCB" w14:textId="77777777" w:rsidR="00A81DCD" w:rsidRPr="00501AD3" w:rsidRDefault="00A81DCD" w:rsidP="00A71198">
            <w:pPr>
              <w:rPr>
                <w:sz w:val="22"/>
                <w:szCs w:val="22"/>
              </w:rPr>
            </w:pPr>
            <w:r w:rsidRPr="00501AD3">
              <w:rPr>
                <w:sz w:val="22"/>
                <w:szCs w:val="22"/>
              </w:rPr>
              <w:t>Controls and Procedures</w:t>
            </w:r>
          </w:p>
          <w:p w14:paraId="7EBEA23E" w14:textId="4160DB58" w:rsidR="00A7322D" w:rsidRPr="00501AD3" w:rsidRDefault="00A7322D" w:rsidP="00A71198">
            <w:pPr>
              <w:rPr>
                <w:sz w:val="22"/>
                <w:szCs w:val="22"/>
              </w:rPr>
            </w:pPr>
            <w:r w:rsidRPr="00501AD3">
              <w:rPr>
                <w:sz w:val="22"/>
                <w:szCs w:val="22"/>
              </w:rPr>
              <w:t>Evaluation of Disclosure Controls and Procedures</w:t>
            </w:r>
          </w:p>
        </w:tc>
        <w:tc>
          <w:tcPr>
            <w:tcW w:w="1256" w:type="dxa"/>
          </w:tcPr>
          <w:p w14:paraId="726328EB" w14:textId="77777777" w:rsidR="00A81DCD" w:rsidRPr="00501AD3" w:rsidRDefault="00A81DCD" w:rsidP="00A71198">
            <w:pPr>
              <w:ind w:right="224"/>
              <w:jc w:val="right"/>
              <w:rPr>
                <w:sz w:val="22"/>
                <w:szCs w:val="22"/>
              </w:rPr>
            </w:pPr>
          </w:p>
        </w:tc>
      </w:tr>
      <w:tr w:rsidR="009E3590" w:rsidRPr="00867AD0" w14:paraId="22DB1747" w14:textId="77777777" w:rsidTr="00D72474">
        <w:tc>
          <w:tcPr>
            <w:tcW w:w="1230" w:type="dxa"/>
          </w:tcPr>
          <w:p w14:paraId="7FF9BEBB" w14:textId="77777777" w:rsidR="00A81DCD" w:rsidRPr="00501AD3" w:rsidRDefault="00A81DCD" w:rsidP="00A71198">
            <w:pPr>
              <w:rPr>
                <w:sz w:val="22"/>
                <w:szCs w:val="22"/>
              </w:rPr>
            </w:pPr>
          </w:p>
        </w:tc>
        <w:tc>
          <w:tcPr>
            <w:tcW w:w="7522" w:type="dxa"/>
          </w:tcPr>
          <w:p w14:paraId="2B17185A" w14:textId="77777777" w:rsidR="00A81DCD" w:rsidRPr="00501AD3" w:rsidRDefault="00A81DCD" w:rsidP="00A71198">
            <w:pPr>
              <w:rPr>
                <w:sz w:val="22"/>
                <w:szCs w:val="22"/>
              </w:rPr>
            </w:pPr>
            <w:r w:rsidRPr="00501AD3">
              <w:rPr>
                <w:sz w:val="22"/>
                <w:szCs w:val="22"/>
              </w:rPr>
              <w:t>Management</w:t>
            </w:r>
            <w:r w:rsidR="00F900EF" w:rsidRPr="00501AD3">
              <w:rPr>
                <w:sz w:val="22"/>
                <w:szCs w:val="22"/>
              </w:rPr>
              <w:t xml:space="preserve">’s </w:t>
            </w:r>
            <w:r w:rsidR="00A752C2" w:rsidRPr="00501AD3">
              <w:rPr>
                <w:sz w:val="22"/>
                <w:szCs w:val="22"/>
              </w:rPr>
              <w:t xml:space="preserve">Annual </w:t>
            </w:r>
            <w:r w:rsidR="00F900EF" w:rsidRPr="00501AD3">
              <w:rPr>
                <w:sz w:val="22"/>
                <w:szCs w:val="22"/>
              </w:rPr>
              <w:t>Report</w:t>
            </w:r>
            <w:r w:rsidRPr="00501AD3">
              <w:rPr>
                <w:sz w:val="22"/>
                <w:szCs w:val="22"/>
              </w:rPr>
              <w:t xml:space="preserve"> on Internal Control over Financial Reporting </w:t>
            </w:r>
          </w:p>
        </w:tc>
        <w:tc>
          <w:tcPr>
            <w:tcW w:w="1256" w:type="dxa"/>
          </w:tcPr>
          <w:p w14:paraId="300DF775" w14:textId="044996BD" w:rsidR="00A81DCD" w:rsidRPr="00501AD3" w:rsidRDefault="00CC14B3" w:rsidP="00A71198">
            <w:pPr>
              <w:ind w:right="224"/>
              <w:jc w:val="right"/>
              <w:rPr>
                <w:sz w:val="22"/>
                <w:szCs w:val="22"/>
              </w:rPr>
            </w:pPr>
            <w:r>
              <w:rPr>
                <w:sz w:val="22"/>
                <w:szCs w:val="22"/>
              </w:rPr>
              <w:t>40</w:t>
            </w:r>
          </w:p>
        </w:tc>
      </w:tr>
      <w:tr w:rsidR="009E3590" w:rsidRPr="00867AD0" w14:paraId="3C2186A7" w14:textId="77777777" w:rsidTr="00D72474">
        <w:tc>
          <w:tcPr>
            <w:tcW w:w="1230" w:type="dxa"/>
          </w:tcPr>
          <w:p w14:paraId="4A18B51E" w14:textId="77777777" w:rsidR="00A81DCD" w:rsidRPr="00501AD3" w:rsidRDefault="00A81DCD" w:rsidP="00A71198">
            <w:pPr>
              <w:rPr>
                <w:sz w:val="22"/>
                <w:szCs w:val="22"/>
              </w:rPr>
            </w:pPr>
            <w:r w:rsidRPr="00501AD3">
              <w:rPr>
                <w:sz w:val="22"/>
                <w:szCs w:val="22"/>
              </w:rPr>
              <w:t>Item 9B.</w:t>
            </w:r>
          </w:p>
        </w:tc>
        <w:tc>
          <w:tcPr>
            <w:tcW w:w="7522" w:type="dxa"/>
          </w:tcPr>
          <w:p w14:paraId="30E90DD3" w14:textId="77777777" w:rsidR="00A81DCD" w:rsidRPr="00501AD3" w:rsidRDefault="00A81DCD" w:rsidP="00A71198">
            <w:pPr>
              <w:rPr>
                <w:sz w:val="22"/>
                <w:szCs w:val="22"/>
              </w:rPr>
            </w:pPr>
            <w:r w:rsidRPr="00501AD3">
              <w:rPr>
                <w:sz w:val="22"/>
                <w:szCs w:val="22"/>
              </w:rPr>
              <w:t>Other Information</w:t>
            </w:r>
          </w:p>
        </w:tc>
        <w:tc>
          <w:tcPr>
            <w:tcW w:w="1256" w:type="dxa"/>
          </w:tcPr>
          <w:p w14:paraId="77C42DE4" w14:textId="162874DA" w:rsidR="00D72474" w:rsidRPr="00501AD3" w:rsidRDefault="00CC14B3" w:rsidP="002226A0">
            <w:pPr>
              <w:ind w:right="224"/>
              <w:jc w:val="right"/>
              <w:rPr>
                <w:sz w:val="22"/>
                <w:szCs w:val="22"/>
              </w:rPr>
            </w:pPr>
            <w:r>
              <w:rPr>
                <w:sz w:val="22"/>
                <w:szCs w:val="22"/>
              </w:rPr>
              <w:t>41</w:t>
            </w:r>
          </w:p>
        </w:tc>
      </w:tr>
      <w:tr w:rsidR="00D72474" w:rsidRPr="00867AD0" w14:paraId="3A92B8A8" w14:textId="77777777" w:rsidTr="00D72474">
        <w:tc>
          <w:tcPr>
            <w:tcW w:w="1230" w:type="dxa"/>
          </w:tcPr>
          <w:p w14:paraId="6D379433" w14:textId="1F2DF445" w:rsidR="00D72474" w:rsidRPr="00501AD3" w:rsidRDefault="00D72474" w:rsidP="00D72474">
            <w:pPr>
              <w:rPr>
                <w:b/>
                <w:sz w:val="22"/>
                <w:szCs w:val="22"/>
              </w:rPr>
            </w:pPr>
            <w:bookmarkStart w:id="3" w:name="_Hlk96036160"/>
            <w:r w:rsidRPr="00501AD3">
              <w:rPr>
                <w:sz w:val="22"/>
                <w:szCs w:val="22"/>
              </w:rPr>
              <w:t>Item 9C.</w:t>
            </w:r>
          </w:p>
        </w:tc>
        <w:tc>
          <w:tcPr>
            <w:tcW w:w="7522" w:type="dxa"/>
          </w:tcPr>
          <w:p w14:paraId="4EED069E" w14:textId="77777777" w:rsidR="00D72474" w:rsidRDefault="00BE6171" w:rsidP="001A7894">
            <w:pPr>
              <w:rPr>
                <w:sz w:val="22"/>
                <w:szCs w:val="22"/>
              </w:rPr>
            </w:pPr>
            <w:r w:rsidRPr="00501AD3">
              <w:rPr>
                <w:sz w:val="22"/>
                <w:szCs w:val="22"/>
              </w:rPr>
              <w:t>Disclosure Regarding Foreign Jurisdictions that Prevent Inspections</w:t>
            </w:r>
          </w:p>
          <w:p w14:paraId="0A7DB80D" w14:textId="77777777" w:rsidR="008F0198" w:rsidRDefault="008F0198" w:rsidP="001A7894">
            <w:pPr>
              <w:rPr>
                <w:b/>
                <w:sz w:val="22"/>
                <w:szCs w:val="22"/>
              </w:rPr>
            </w:pPr>
          </w:p>
          <w:p w14:paraId="348EDAC9" w14:textId="35E8104B" w:rsidR="008F0198" w:rsidRPr="00501AD3" w:rsidRDefault="008F0198" w:rsidP="00C83FFE">
            <w:pPr>
              <w:jc w:val="center"/>
              <w:rPr>
                <w:b/>
                <w:sz w:val="22"/>
                <w:szCs w:val="22"/>
              </w:rPr>
            </w:pPr>
            <w:r w:rsidRPr="00501AD3">
              <w:rPr>
                <w:b/>
                <w:sz w:val="22"/>
                <w:szCs w:val="22"/>
              </w:rPr>
              <w:t>Part I</w:t>
            </w:r>
            <w:r>
              <w:rPr>
                <w:b/>
                <w:sz w:val="22"/>
                <w:szCs w:val="22"/>
              </w:rPr>
              <w:t>II</w:t>
            </w:r>
          </w:p>
        </w:tc>
        <w:tc>
          <w:tcPr>
            <w:tcW w:w="1256" w:type="dxa"/>
          </w:tcPr>
          <w:p w14:paraId="676C234A" w14:textId="29179EC5" w:rsidR="00D72474" w:rsidRPr="00501AD3" w:rsidRDefault="00CC14B3" w:rsidP="002226A0">
            <w:pPr>
              <w:ind w:right="224"/>
              <w:jc w:val="right"/>
              <w:rPr>
                <w:b/>
                <w:sz w:val="22"/>
                <w:szCs w:val="22"/>
              </w:rPr>
            </w:pPr>
            <w:r>
              <w:rPr>
                <w:bCs/>
                <w:sz w:val="22"/>
                <w:szCs w:val="22"/>
              </w:rPr>
              <w:t>41</w:t>
            </w:r>
          </w:p>
        </w:tc>
      </w:tr>
      <w:bookmarkEnd w:id="3"/>
      <w:tr w:rsidR="00D72474" w:rsidRPr="00867AD0" w14:paraId="7928CD1F" w14:textId="77777777" w:rsidTr="00D72474">
        <w:tc>
          <w:tcPr>
            <w:tcW w:w="1230" w:type="dxa"/>
          </w:tcPr>
          <w:p w14:paraId="29C2D8A7" w14:textId="77777777" w:rsidR="00D72474" w:rsidRPr="00501AD3" w:rsidRDefault="00D72474" w:rsidP="00D72474">
            <w:pPr>
              <w:rPr>
                <w:sz w:val="22"/>
                <w:szCs w:val="22"/>
              </w:rPr>
            </w:pPr>
            <w:r w:rsidRPr="00501AD3">
              <w:rPr>
                <w:sz w:val="22"/>
                <w:szCs w:val="22"/>
              </w:rPr>
              <w:t>Item 10.</w:t>
            </w:r>
          </w:p>
        </w:tc>
        <w:tc>
          <w:tcPr>
            <w:tcW w:w="7522" w:type="dxa"/>
          </w:tcPr>
          <w:p w14:paraId="32FE4D6B" w14:textId="77777777" w:rsidR="00D72474" w:rsidRPr="00501AD3" w:rsidRDefault="00D72474" w:rsidP="00D72474">
            <w:pPr>
              <w:rPr>
                <w:sz w:val="22"/>
                <w:szCs w:val="22"/>
              </w:rPr>
            </w:pPr>
            <w:r w:rsidRPr="00501AD3">
              <w:rPr>
                <w:sz w:val="22"/>
                <w:szCs w:val="22"/>
              </w:rPr>
              <w:t>Directors, Executive Officers and Corporate Governance</w:t>
            </w:r>
          </w:p>
        </w:tc>
        <w:tc>
          <w:tcPr>
            <w:tcW w:w="1256" w:type="dxa"/>
          </w:tcPr>
          <w:p w14:paraId="60ECD809" w14:textId="2334AC7F" w:rsidR="00D72474" w:rsidRPr="00501AD3" w:rsidRDefault="00CC14B3" w:rsidP="00D72474">
            <w:pPr>
              <w:ind w:right="224"/>
              <w:jc w:val="right"/>
              <w:rPr>
                <w:sz w:val="22"/>
                <w:szCs w:val="22"/>
              </w:rPr>
            </w:pPr>
            <w:r>
              <w:rPr>
                <w:sz w:val="22"/>
                <w:szCs w:val="22"/>
              </w:rPr>
              <w:t>41</w:t>
            </w:r>
          </w:p>
        </w:tc>
      </w:tr>
      <w:tr w:rsidR="00D72474" w:rsidRPr="00867AD0" w14:paraId="3A1E3615" w14:textId="77777777" w:rsidTr="00D72474">
        <w:tc>
          <w:tcPr>
            <w:tcW w:w="1230" w:type="dxa"/>
          </w:tcPr>
          <w:p w14:paraId="2D522822" w14:textId="77777777" w:rsidR="00D72474" w:rsidRPr="00501AD3" w:rsidRDefault="00D72474" w:rsidP="00D72474">
            <w:pPr>
              <w:rPr>
                <w:sz w:val="22"/>
                <w:szCs w:val="22"/>
              </w:rPr>
            </w:pPr>
            <w:r w:rsidRPr="00501AD3">
              <w:rPr>
                <w:sz w:val="22"/>
                <w:szCs w:val="22"/>
              </w:rPr>
              <w:t>Item 11.</w:t>
            </w:r>
          </w:p>
        </w:tc>
        <w:tc>
          <w:tcPr>
            <w:tcW w:w="7522" w:type="dxa"/>
          </w:tcPr>
          <w:p w14:paraId="43DA5C38" w14:textId="77777777" w:rsidR="00D72474" w:rsidRPr="00501AD3" w:rsidRDefault="00D72474" w:rsidP="00D72474">
            <w:pPr>
              <w:rPr>
                <w:sz w:val="22"/>
                <w:szCs w:val="22"/>
              </w:rPr>
            </w:pPr>
            <w:r w:rsidRPr="00501AD3">
              <w:rPr>
                <w:sz w:val="22"/>
                <w:szCs w:val="22"/>
              </w:rPr>
              <w:t>Executive Compensation</w:t>
            </w:r>
          </w:p>
        </w:tc>
        <w:tc>
          <w:tcPr>
            <w:tcW w:w="1256" w:type="dxa"/>
          </w:tcPr>
          <w:p w14:paraId="2B10AF34" w14:textId="36CA4028" w:rsidR="00D72474" w:rsidRPr="00501AD3" w:rsidRDefault="00CC14B3" w:rsidP="00D72474">
            <w:pPr>
              <w:ind w:right="224"/>
              <w:jc w:val="right"/>
              <w:rPr>
                <w:sz w:val="22"/>
                <w:szCs w:val="22"/>
              </w:rPr>
            </w:pPr>
            <w:r>
              <w:rPr>
                <w:sz w:val="22"/>
                <w:szCs w:val="22"/>
              </w:rPr>
              <w:t>41</w:t>
            </w:r>
          </w:p>
        </w:tc>
      </w:tr>
      <w:tr w:rsidR="00D72474" w:rsidRPr="00867AD0" w14:paraId="7F932141" w14:textId="77777777" w:rsidTr="00D72474">
        <w:tc>
          <w:tcPr>
            <w:tcW w:w="1230" w:type="dxa"/>
          </w:tcPr>
          <w:p w14:paraId="340D9574" w14:textId="77777777" w:rsidR="00D72474" w:rsidRPr="00501AD3" w:rsidRDefault="00D72474" w:rsidP="00D72474">
            <w:pPr>
              <w:rPr>
                <w:sz w:val="22"/>
                <w:szCs w:val="22"/>
              </w:rPr>
            </w:pPr>
            <w:r w:rsidRPr="00501AD3">
              <w:rPr>
                <w:sz w:val="22"/>
                <w:szCs w:val="22"/>
              </w:rPr>
              <w:t>Item 12.</w:t>
            </w:r>
          </w:p>
        </w:tc>
        <w:tc>
          <w:tcPr>
            <w:tcW w:w="7522" w:type="dxa"/>
          </w:tcPr>
          <w:p w14:paraId="082B441B" w14:textId="77777777" w:rsidR="00D72474" w:rsidRPr="00501AD3" w:rsidRDefault="00D72474" w:rsidP="00D72474">
            <w:pPr>
              <w:rPr>
                <w:sz w:val="22"/>
                <w:szCs w:val="22"/>
              </w:rPr>
            </w:pPr>
            <w:r w:rsidRPr="00501AD3">
              <w:rPr>
                <w:sz w:val="22"/>
                <w:szCs w:val="22"/>
              </w:rPr>
              <w:t>Security Ownership of Certain Beneficial Owners and Management and Related Stockholder Matters</w:t>
            </w:r>
          </w:p>
        </w:tc>
        <w:tc>
          <w:tcPr>
            <w:tcW w:w="1256" w:type="dxa"/>
          </w:tcPr>
          <w:p w14:paraId="7EE085CA" w14:textId="77777777" w:rsidR="00D72474" w:rsidRPr="00501AD3" w:rsidRDefault="00D72474" w:rsidP="00D72474">
            <w:pPr>
              <w:ind w:right="224"/>
              <w:jc w:val="right"/>
              <w:rPr>
                <w:sz w:val="22"/>
                <w:szCs w:val="22"/>
              </w:rPr>
            </w:pPr>
          </w:p>
          <w:p w14:paraId="06798940" w14:textId="080C04F8" w:rsidR="00D72474" w:rsidRPr="00501AD3" w:rsidRDefault="00CC14B3" w:rsidP="00D72474">
            <w:pPr>
              <w:ind w:right="224"/>
              <w:jc w:val="right"/>
              <w:rPr>
                <w:sz w:val="22"/>
                <w:szCs w:val="22"/>
              </w:rPr>
            </w:pPr>
            <w:r>
              <w:rPr>
                <w:sz w:val="22"/>
                <w:szCs w:val="22"/>
              </w:rPr>
              <w:t>41</w:t>
            </w:r>
          </w:p>
        </w:tc>
      </w:tr>
      <w:tr w:rsidR="00D72474" w:rsidRPr="00867AD0" w14:paraId="45FCD7E5" w14:textId="77777777" w:rsidTr="00D72474">
        <w:tc>
          <w:tcPr>
            <w:tcW w:w="1230" w:type="dxa"/>
          </w:tcPr>
          <w:p w14:paraId="4A6FC5FB" w14:textId="77777777" w:rsidR="00D72474" w:rsidRPr="00501AD3" w:rsidRDefault="00D72474" w:rsidP="00D72474">
            <w:pPr>
              <w:rPr>
                <w:sz w:val="22"/>
                <w:szCs w:val="22"/>
              </w:rPr>
            </w:pPr>
            <w:r w:rsidRPr="00501AD3">
              <w:rPr>
                <w:sz w:val="22"/>
                <w:szCs w:val="22"/>
              </w:rPr>
              <w:t>Item 13.</w:t>
            </w:r>
          </w:p>
        </w:tc>
        <w:tc>
          <w:tcPr>
            <w:tcW w:w="7522" w:type="dxa"/>
          </w:tcPr>
          <w:p w14:paraId="3D0B0254" w14:textId="77777777" w:rsidR="00D72474" w:rsidRPr="00501AD3" w:rsidRDefault="00D72474" w:rsidP="00D72474">
            <w:pPr>
              <w:rPr>
                <w:sz w:val="22"/>
                <w:szCs w:val="22"/>
              </w:rPr>
            </w:pPr>
            <w:r w:rsidRPr="00501AD3">
              <w:rPr>
                <w:sz w:val="22"/>
                <w:szCs w:val="22"/>
              </w:rPr>
              <w:t>Certain Relationships and Related Transactions, and Director Independence</w:t>
            </w:r>
          </w:p>
        </w:tc>
        <w:tc>
          <w:tcPr>
            <w:tcW w:w="1256" w:type="dxa"/>
          </w:tcPr>
          <w:p w14:paraId="6A6529AE" w14:textId="502747AE" w:rsidR="00D72474" w:rsidRPr="00501AD3" w:rsidRDefault="00CC14B3" w:rsidP="00D72474">
            <w:pPr>
              <w:ind w:right="224"/>
              <w:jc w:val="right"/>
              <w:rPr>
                <w:sz w:val="22"/>
                <w:szCs w:val="22"/>
              </w:rPr>
            </w:pPr>
            <w:r>
              <w:rPr>
                <w:sz w:val="22"/>
                <w:szCs w:val="22"/>
              </w:rPr>
              <w:t>42</w:t>
            </w:r>
          </w:p>
        </w:tc>
      </w:tr>
      <w:tr w:rsidR="00D72474" w:rsidRPr="00867AD0" w14:paraId="0160A519" w14:textId="77777777" w:rsidTr="00D72474">
        <w:tc>
          <w:tcPr>
            <w:tcW w:w="1230" w:type="dxa"/>
          </w:tcPr>
          <w:p w14:paraId="0FF3444F" w14:textId="77777777" w:rsidR="00D72474" w:rsidRPr="00501AD3" w:rsidRDefault="00D72474" w:rsidP="00D72474">
            <w:pPr>
              <w:rPr>
                <w:sz w:val="22"/>
                <w:szCs w:val="22"/>
              </w:rPr>
            </w:pPr>
            <w:r w:rsidRPr="00501AD3">
              <w:rPr>
                <w:sz w:val="22"/>
                <w:szCs w:val="22"/>
              </w:rPr>
              <w:t>Item 14.</w:t>
            </w:r>
          </w:p>
        </w:tc>
        <w:tc>
          <w:tcPr>
            <w:tcW w:w="7522" w:type="dxa"/>
          </w:tcPr>
          <w:p w14:paraId="0290558F" w14:textId="77777777" w:rsidR="00D72474" w:rsidRPr="00501AD3" w:rsidRDefault="00D72474" w:rsidP="00D72474">
            <w:pPr>
              <w:rPr>
                <w:sz w:val="22"/>
                <w:szCs w:val="22"/>
              </w:rPr>
            </w:pPr>
            <w:r w:rsidRPr="00501AD3">
              <w:rPr>
                <w:sz w:val="22"/>
                <w:szCs w:val="22"/>
              </w:rPr>
              <w:t>Principal Accountant’s Fees and Services</w:t>
            </w:r>
          </w:p>
        </w:tc>
        <w:tc>
          <w:tcPr>
            <w:tcW w:w="1256" w:type="dxa"/>
          </w:tcPr>
          <w:p w14:paraId="762EEDAB" w14:textId="0DF5B0C9" w:rsidR="00D72474" w:rsidRPr="00501AD3" w:rsidRDefault="00CC14B3" w:rsidP="00D72474">
            <w:pPr>
              <w:ind w:right="224"/>
              <w:jc w:val="right"/>
              <w:rPr>
                <w:sz w:val="22"/>
                <w:szCs w:val="22"/>
              </w:rPr>
            </w:pPr>
            <w:r>
              <w:rPr>
                <w:sz w:val="22"/>
                <w:szCs w:val="22"/>
              </w:rPr>
              <w:t>42</w:t>
            </w:r>
          </w:p>
        </w:tc>
      </w:tr>
      <w:tr w:rsidR="00D72474" w:rsidRPr="00867AD0" w14:paraId="22D0C36C" w14:textId="77777777" w:rsidTr="00D72474">
        <w:tc>
          <w:tcPr>
            <w:tcW w:w="1230" w:type="dxa"/>
          </w:tcPr>
          <w:p w14:paraId="73AA70BE" w14:textId="77777777" w:rsidR="00D72474" w:rsidRPr="00501AD3" w:rsidRDefault="00D72474" w:rsidP="00D72474">
            <w:pPr>
              <w:rPr>
                <w:b/>
                <w:sz w:val="22"/>
                <w:szCs w:val="22"/>
              </w:rPr>
            </w:pPr>
          </w:p>
        </w:tc>
        <w:tc>
          <w:tcPr>
            <w:tcW w:w="7522" w:type="dxa"/>
          </w:tcPr>
          <w:p w14:paraId="6CB41FDC" w14:textId="77777777" w:rsidR="00D72474" w:rsidRPr="00501AD3" w:rsidRDefault="00D72474" w:rsidP="00D72474">
            <w:pPr>
              <w:rPr>
                <w:b/>
                <w:sz w:val="22"/>
                <w:szCs w:val="22"/>
              </w:rPr>
            </w:pPr>
          </w:p>
          <w:p w14:paraId="55372372" w14:textId="77777777" w:rsidR="00D72474" w:rsidRPr="00501AD3" w:rsidRDefault="00D72474" w:rsidP="00D72474">
            <w:pPr>
              <w:jc w:val="center"/>
              <w:rPr>
                <w:b/>
                <w:sz w:val="22"/>
                <w:szCs w:val="22"/>
              </w:rPr>
            </w:pPr>
            <w:r w:rsidRPr="00501AD3">
              <w:rPr>
                <w:b/>
                <w:sz w:val="22"/>
                <w:szCs w:val="22"/>
              </w:rPr>
              <w:t>Part IV</w:t>
            </w:r>
          </w:p>
        </w:tc>
        <w:tc>
          <w:tcPr>
            <w:tcW w:w="1256" w:type="dxa"/>
          </w:tcPr>
          <w:p w14:paraId="3F57B53D" w14:textId="77777777" w:rsidR="00D72474" w:rsidRPr="00501AD3" w:rsidRDefault="00D72474" w:rsidP="00D72474">
            <w:pPr>
              <w:ind w:right="224"/>
              <w:jc w:val="right"/>
              <w:rPr>
                <w:b/>
                <w:sz w:val="22"/>
                <w:szCs w:val="22"/>
              </w:rPr>
            </w:pPr>
          </w:p>
        </w:tc>
      </w:tr>
      <w:tr w:rsidR="00D72474" w:rsidRPr="00867AD0" w14:paraId="70AAE077" w14:textId="77777777" w:rsidTr="00D72474">
        <w:tc>
          <w:tcPr>
            <w:tcW w:w="1230" w:type="dxa"/>
          </w:tcPr>
          <w:p w14:paraId="3DE5CD0B" w14:textId="77777777" w:rsidR="00D72474" w:rsidRPr="00501AD3" w:rsidRDefault="00D72474" w:rsidP="00D72474">
            <w:pPr>
              <w:rPr>
                <w:sz w:val="22"/>
                <w:szCs w:val="22"/>
              </w:rPr>
            </w:pPr>
            <w:r w:rsidRPr="00501AD3">
              <w:rPr>
                <w:sz w:val="22"/>
                <w:szCs w:val="22"/>
              </w:rPr>
              <w:t>Item 15.</w:t>
            </w:r>
          </w:p>
        </w:tc>
        <w:tc>
          <w:tcPr>
            <w:tcW w:w="7522" w:type="dxa"/>
          </w:tcPr>
          <w:p w14:paraId="33F7EB6D" w14:textId="1DEAC628" w:rsidR="00D72474" w:rsidRPr="00501AD3" w:rsidRDefault="00D72474" w:rsidP="00D72474">
            <w:pPr>
              <w:rPr>
                <w:sz w:val="22"/>
                <w:szCs w:val="22"/>
              </w:rPr>
            </w:pPr>
            <w:r w:rsidRPr="00501AD3">
              <w:rPr>
                <w:sz w:val="22"/>
                <w:szCs w:val="22"/>
              </w:rPr>
              <w:t>Exhibits</w:t>
            </w:r>
            <w:r w:rsidR="000440F3" w:rsidRPr="00501AD3">
              <w:rPr>
                <w:sz w:val="22"/>
                <w:szCs w:val="22"/>
              </w:rPr>
              <w:t xml:space="preserve"> and</w:t>
            </w:r>
            <w:r w:rsidRPr="00501AD3">
              <w:rPr>
                <w:sz w:val="22"/>
                <w:szCs w:val="22"/>
              </w:rPr>
              <w:t xml:space="preserve"> Financial Statement Schedules</w:t>
            </w:r>
          </w:p>
        </w:tc>
        <w:tc>
          <w:tcPr>
            <w:tcW w:w="1256" w:type="dxa"/>
          </w:tcPr>
          <w:p w14:paraId="490F7290" w14:textId="258BC8F1" w:rsidR="00D72474" w:rsidRPr="00501AD3" w:rsidRDefault="00D72474" w:rsidP="00D72474">
            <w:pPr>
              <w:ind w:right="224"/>
              <w:jc w:val="center"/>
              <w:rPr>
                <w:sz w:val="22"/>
                <w:szCs w:val="22"/>
              </w:rPr>
            </w:pPr>
            <w:r w:rsidRPr="00501AD3">
              <w:rPr>
                <w:sz w:val="22"/>
                <w:szCs w:val="22"/>
              </w:rPr>
              <w:t xml:space="preserve">         </w:t>
            </w:r>
            <w:r w:rsidR="00CC14B3">
              <w:rPr>
                <w:sz w:val="22"/>
                <w:szCs w:val="22"/>
              </w:rPr>
              <w:t>43</w:t>
            </w:r>
          </w:p>
        </w:tc>
      </w:tr>
      <w:tr w:rsidR="00D72474" w:rsidRPr="00867AD0" w14:paraId="5B680800" w14:textId="77777777" w:rsidTr="00D72474">
        <w:tc>
          <w:tcPr>
            <w:tcW w:w="1230" w:type="dxa"/>
          </w:tcPr>
          <w:p w14:paraId="6672337C" w14:textId="77777777" w:rsidR="00D72474" w:rsidRPr="00501AD3" w:rsidRDefault="00D72474" w:rsidP="00D72474">
            <w:pPr>
              <w:rPr>
                <w:sz w:val="22"/>
                <w:szCs w:val="22"/>
              </w:rPr>
            </w:pPr>
            <w:r w:rsidRPr="00501AD3">
              <w:rPr>
                <w:sz w:val="22"/>
                <w:szCs w:val="22"/>
              </w:rPr>
              <w:t>Item 16.</w:t>
            </w:r>
          </w:p>
        </w:tc>
        <w:tc>
          <w:tcPr>
            <w:tcW w:w="7522" w:type="dxa"/>
          </w:tcPr>
          <w:p w14:paraId="462DF86F" w14:textId="77777777" w:rsidR="00D72474" w:rsidRPr="00501AD3" w:rsidRDefault="00D72474" w:rsidP="00D72474">
            <w:pPr>
              <w:rPr>
                <w:sz w:val="22"/>
                <w:szCs w:val="22"/>
              </w:rPr>
            </w:pPr>
            <w:r w:rsidRPr="00501AD3">
              <w:rPr>
                <w:sz w:val="22"/>
                <w:szCs w:val="22"/>
              </w:rPr>
              <w:t xml:space="preserve">Form 10-K Summary                                                                                                                                         </w:t>
            </w:r>
          </w:p>
        </w:tc>
        <w:tc>
          <w:tcPr>
            <w:tcW w:w="1256" w:type="dxa"/>
          </w:tcPr>
          <w:p w14:paraId="6CA092BD" w14:textId="7EA888AF" w:rsidR="00D72474" w:rsidRPr="00501AD3" w:rsidRDefault="00D72474" w:rsidP="00D72474">
            <w:pPr>
              <w:ind w:right="224"/>
              <w:jc w:val="center"/>
              <w:rPr>
                <w:sz w:val="22"/>
                <w:szCs w:val="22"/>
              </w:rPr>
            </w:pPr>
            <w:r w:rsidRPr="00501AD3">
              <w:rPr>
                <w:sz w:val="22"/>
                <w:szCs w:val="22"/>
              </w:rPr>
              <w:t xml:space="preserve">         </w:t>
            </w:r>
            <w:r w:rsidR="00CC14B3">
              <w:rPr>
                <w:sz w:val="22"/>
                <w:szCs w:val="22"/>
              </w:rPr>
              <w:t>43</w:t>
            </w:r>
          </w:p>
          <w:p w14:paraId="672A4363" w14:textId="77777777" w:rsidR="00D72474" w:rsidRPr="00501AD3" w:rsidRDefault="00D72474" w:rsidP="00D72474">
            <w:pPr>
              <w:ind w:right="224"/>
              <w:jc w:val="center"/>
              <w:rPr>
                <w:sz w:val="22"/>
                <w:szCs w:val="22"/>
              </w:rPr>
            </w:pPr>
          </w:p>
        </w:tc>
      </w:tr>
      <w:tr w:rsidR="00D72474" w:rsidRPr="00867AD0" w14:paraId="15CC34C9" w14:textId="77777777" w:rsidTr="00D72474">
        <w:tc>
          <w:tcPr>
            <w:tcW w:w="1230" w:type="dxa"/>
          </w:tcPr>
          <w:p w14:paraId="4107DC70" w14:textId="77777777" w:rsidR="00D72474" w:rsidRPr="00501AD3" w:rsidRDefault="00D72474" w:rsidP="00D72474">
            <w:pPr>
              <w:rPr>
                <w:sz w:val="22"/>
                <w:szCs w:val="22"/>
              </w:rPr>
            </w:pPr>
            <w:r w:rsidRPr="00501AD3">
              <w:rPr>
                <w:sz w:val="22"/>
                <w:szCs w:val="22"/>
              </w:rPr>
              <w:t>Signatures</w:t>
            </w:r>
          </w:p>
        </w:tc>
        <w:tc>
          <w:tcPr>
            <w:tcW w:w="7522" w:type="dxa"/>
          </w:tcPr>
          <w:p w14:paraId="65A098DD" w14:textId="77777777" w:rsidR="00D72474" w:rsidRPr="00501AD3" w:rsidRDefault="00D72474" w:rsidP="00D72474">
            <w:pPr>
              <w:rPr>
                <w:sz w:val="22"/>
                <w:szCs w:val="22"/>
              </w:rPr>
            </w:pPr>
          </w:p>
        </w:tc>
        <w:tc>
          <w:tcPr>
            <w:tcW w:w="1256" w:type="dxa"/>
          </w:tcPr>
          <w:p w14:paraId="5D1550DE" w14:textId="22909830" w:rsidR="00D72474" w:rsidRPr="00501AD3" w:rsidRDefault="00CC14B3" w:rsidP="00D72474">
            <w:pPr>
              <w:ind w:right="224"/>
              <w:jc w:val="right"/>
              <w:rPr>
                <w:sz w:val="22"/>
                <w:szCs w:val="22"/>
              </w:rPr>
            </w:pPr>
            <w:r>
              <w:rPr>
                <w:sz w:val="22"/>
                <w:szCs w:val="22"/>
              </w:rPr>
              <w:t>44</w:t>
            </w:r>
          </w:p>
        </w:tc>
      </w:tr>
      <w:bookmarkEnd w:id="2"/>
    </w:tbl>
    <w:p w14:paraId="5611B838" w14:textId="77777777" w:rsidR="00A81DCD" w:rsidRPr="00501AD3" w:rsidRDefault="00A81DCD" w:rsidP="00A81DCD">
      <w:pPr>
        <w:ind w:right="-180"/>
        <w:rPr>
          <w:sz w:val="22"/>
          <w:szCs w:val="22"/>
        </w:rPr>
      </w:pPr>
    </w:p>
    <w:p w14:paraId="00D514D7" w14:textId="77777777" w:rsidR="00A81DCD" w:rsidRPr="00501AD3" w:rsidRDefault="00A81DCD" w:rsidP="00A81DCD">
      <w:pPr>
        <w:tabs>
          <w:tab w:val="left" w:pos="-720"/>
        </w:tabs>
        <w:jc w:val="center"/>
        <w:outlineLvl w:val="0"/>
        <w:rPr>
          <w:b/>
          <w:sz w:val="22"/>
          <w:szCs w:val="22"/>
          <w:u w:val="single"/>
        </w:rPr>
      </w:pPr>
    </w:p>
    <w:p w14:paraId="098D1D14" w14:textId="2B5F34E9" w:rsidR="00A81DCD" w:rsidRPr="00501AD3" w:rsidRDefault="00A81DCD" w:rsidP="00A81DCD">
      <w:pPr>
        <w:tabs>
          <w:tab w:val="left" w:pos="-720"/>
        </w:tabs>
        <w:jc w:val="center"/>
        <w:outlineLvl w:val="0"/>
        <w:rPr>
          <w:b/>
          <w:sz w:val="22"/>
          <w:szCs w:val="22"/>
          <w:u w:val="single"/>
        </w:rPr>
      </w:pPr>
    </w:p>
    <w:p w14:paraId="7E7D8D35" w14:textId="724B1242" w:rsidR="00F23E2F" w:rsidRPr="00501AD3" w:rsidRDefault="00F23E2F" w:rsidP="00A81DCD">
      <w:pPr>
        <w:tabs>
          <w:tab w:val="left" w:pos="-720"/>
        </w:tabs>
        <w:jc w:val="center"/>
        <w:outlineLvl w:val="0"/>
        <w:rPr>
          <w:b/>
          <w:sz w:val="22"/>
          <w:szCs w:val="22"/>
          <w:u w:val="single"/>
        </w:rPr>
      </w:pPr>
    </w:p>
    <w:p w14:paraId="45085753" w14:textId="77777777" w:rsidR="00F23E2F" w:rsidRPr="00501AD3" w:rsidRDefault="00F23E2F" w:rsidP="00A81DCD">
      <w:pPr>
        <w:tabs>
          <w:tab w:val="left" w:pos="-720"/>
        </w:tabs>
        <w:jc w:val="center"/>
        <w:outlineLvl w:val="0"/>
        <w:rPr>
          <w:b/>
          <w:sz w:val="22"/>
          <w:szCs w:val="22"/>
          <w:u w:val="single"/>
        </w:rPr>
      </w:pPr>
    </w:p>
    <w:p w14:paraId="05A138C0" w14:textId="11E2EC3C" w:rsidR="0063136E" w:rsidRDefault="0063136E">
      <w:pPr>
        <w:rPr>
          <w:b/>
          <w:sz w:val="22"/>
          <w:szCs w:val="22"/>
          <w:u w:val="single"/>
        </w:rPr>
      </w:pPr>
      <w:r>
        <w:rPr>
          <w:b/>
          <w:sz w:val="22"/>
          <w:szCs w:val="22"/>
          <w:u w:val="single"/>
        </w:rPr>
        <w:br w:type="page"/>
      </w:r>
    </w:p>
    <w:p w14:paraId="2842CCC7" w14:textId="77777777" w:rsidR="00A81DCD" w:rsidRPr="00501AD3" w:rsidRDefault="00A81DCD" w:rsidP="00A81DCD">
      <w:pPr>
        <w:tabs>
          <w:tab w:val="left" w:pos="-720"/>
        </w:tabs>
        <w:jc w:val="center"/>
        <w:outlineLvl w:val="0"/>
        <w:rPr>
          <w:b/>
          <w:sz w:val="22"/>
          <w:szCs w:val="22"/>
          <w:u w:val="single"/>
        </w:rPr>
      </w:pPr>
      <w:r w:rsidRPr="00501AD3">
        <w:rPr>
          <w:b/>
          <w:sz w:val="22"/>
          <w:szCs w:val="22"/>
          <w:u w:val="single"/>
        </w:rPr>
        <w:lastRenderedPageBreak/>
        <w:t>PART I</w:t>
      </w:r>
    </w:p>
    <w:p w14:paraId="25B6C00B" w14:textId="77777777" w:rsidR="00A81DCD" w:rsidRPr="00501AD3" w:rsidRDefault="00A81DCD" w:rsidP="00A81DCD">
      <w:pPr>
        <w:tabs>
          <w:tab w:val="left" w:pos="-720"/>
        </w:tabs>
        <w:jc w:val="center"/>
        <w:outlineLvl w:val="0"/>
        <w:rPr>
          <w:sz w:val="22"/>
          <w:szCs w:val="22"/>
        </w:rPr>
      </w:pPr>
    </w:p>
    <w:p w14:paraId="57F54935" w14:textId="77777777" w:rsidR="000C6DBC" w:rsidRPr="00501AD3" w:rsidRDefault="000C6DBC" w:rsidP="000C6DBC">
      <w:pPr>
        <w:jc w:val="center"/>
        <w:rPr>
          <w:b/>
          <w:bCs/>
          <w:iCs/>
          <w:snapToGrid w:val="0"/>
          <w:sz w:val="22"/>
          <w:szCs w:val="22"/>
        </w:rPr>
      </w:pPr>
      <w:bookmarkStart w:id="4" w:name="_Hlk63937494"/>
      <w:bookmarkStart w:id="5" w:name="OLE_LINK1"/>
      <w:bookmarkStart w:id="6" w:name="OLE_LINK2"/>
      <w:r w:rsidRPr="00501AD3">
        <w:rPr>
          <w:b/>
          <w:bCs/>
          <w:iCs/>
          <w:snapToGrid w:val="0"/>
          <w:sz w:val="22"/>
          <w:szCs w:val="22"/>
        </w:rPr>
        <w:t>Cautionary Note Regarding Forward-Looking Statements</w:t>
      </w:r>
    </w:p>
    <w:p w14:paraId="78065EC7" w14:textId="77777777" w:rsidR="000C6DBC" w:rsidRPr="00501AD3" w:rsidRDefault="000C6DBC" w:rsidP="000C6DBC">
      <w:pPr>
        <w:jc w:val="center"/>
        <w:rPr>
          <w:b/>
          <w:bCs/>
          <w:iCs/>
          <w:snapToGrid w:val="0"/>
          <w:sz w:val="22"/>
          <w:szCs w:val="22"/>
        </w:rPr>
      </w:pPr>
    </w:p>
    <w:p w14:paraId="276EE10B" w14:textId="3D659B6A" w:rsidR="000C6DBC" w:rsidRPr="00501AD3" w:rsidRDefault="000C6DBC" w:rsidP="000C6DBC">
      <w:pPr>
        <w:ind w:firstLine="720"/>
        <w:jc w:val="both"/>
        <w:rPr>
          <w:i/>
          <w:iCs/>
          <w:sz w:val="22"/>
          <w:szCs w:val="22"/>
        </w:rPr>
      </w:pPr>
      <w:r w:rsidRPr="00501AD3">
        <w:rPr>
          <w:i/>
          <w:snapToGrid w:val="0"/>
          <w:sz w:val="22"/>
          <w:szCs w:val="22"/>
        </w:rPr>
        <w:t xml:space="preserve">Disclosures in this Annual Report on Form 10-K </w:t>
      </w:r>
      <w:r w:rsidRPr="00501AD3">
        <w:rPr>
          <w:i/>
          <w:iCs/>
          <w:sz w:val="22"/>
          <w:szCs w:val="22"/>
        </w:rPr>
        <w:t xml:space="preserve">(this “Report”) </w:t>
      </w:r>
      <w:r w:rsidRPr="00501AD3">
        <w:rPr>
          <w:i/>
          <w:snapToGrid w:val="0"/>
          <w:sz w:val="22"/>
          <w:szCs w:val="22"/>
        </w:rPr>
        <w:t>contain certain forward-looking statements</w:t>
      </w:r>
      <w:r w:rsidRPr="00501AD3">
        <w:rPr>
          <w:sz w:val="22"/>
          <w:szCs w:val="22"/>
        </w:rPr>
        <w:t xml:space="preserve"> </w:t>
      </w:r>
      <w:r w:rsidRPr="00501AD3">
        <w:rPr>
          <w:i/>
          <w:snapToGrid w:val="0"/>
          <w:sz w:val="22"/>
          <w:szCs w:val="22"/>
        </w:rPr>
        <w:t xml:space="preserve">within the meaning of Section 21E of the Securities and Exchange Act of 1934, as amended, and Section 27A of the Securities Act of 1933, as amended. These forward-looking statements include, without limitation, statements concerning our operations, economic performance, and financial condition. </w:t>
      </w:r>
      <w:r w:rsidRPr="00501AD3">
        <w:rPr>
          <w:i/>
          <w:iCs/>
          <w:sz w:val="22"/>
          <w:szCs w:val="22"/>
        </w:rPr>
        <w:t>Words such as “project,” “believe,” “expect,” “can,” “continue,” “could,” “intend,” “may,” “should,” “will,” “anticipate,” “indicate,” “predict,” “likely,” “estimate,” “plan,” “potential,”</w:t>
      </w:r>
      <w:r w:rsidR="00113CA4" w:rsidRPr="00501AD3">
        <w:rPr>
          <w:i/>
          <w:iCs/>
          <w:sz w:val="22"/>
          <w:szCs w:val="22"/>
        </w:rPr>
        <w:t xml:space="preserve"> </w:t>
      </w:r>
      <w:r w:rsidRPr="00501AD3">
        <w:rPr>
          <w:i/>
          <w:iCs/>
          <w:sz w:val="22"/>
          <w:szCs w:val="22"/>
        </w:rPr>
        <w:t>or the negatives thereof, and other similar expressions generally identify forward-looking statements.</w:t>
      </w:r>
      <w:r w:rsidRPr="00501AD3">
        <w:rPr>
          <w:i/>
          <w:iCs/>
          <w:sz w:val="22"/>
          <w:szCs w:val="22"/>
        </w:rPr>
        <w:tab/>
      </w:r>
    </w:p>
    <w:p w14:paraId="63BC3A70" w14:textId="77777777" w:rsidR="000C6DBC" w:rsidRPr="00501AD3" w:rsidRDefault="000C6DBC" w:rsidP="000C6DBC">
      <w:pPr>
        <w:ind w:firstLine="720"/>
        <w:jc w:val="both"/>
        <w:rPr>
          <w:i/>
          <w:iCs/>
          <w:sz w:val="22"/>
          <w:szCs w:val="22"/>
        </w:rPr>
      </w:pPr>
    </w:p>
    <w:p w14:paraId="027E4E0F" w14:textId="16C1D892" w:rsidR="009A1E02" w:rsidRDefault="009A1E02" w:rsidP="009A1E02">
      <w:pPr>
        <w:ind w:firstLine="720"/>
        <w:jc w:val="both"/>
        <w:rPr>
          <w:i/>
          <w:snapToGrid w:val="0"/>
          <w:sz w:val="22"/>
          <w:szCs w:val="22"/>
        </w:rPr>
      </w:pPr>
      <w:r w:rsidRPr="1EDC3841">
        <w:rPr>
          <w:i/>
          <w:iCs/>
          <w:snapToGrid w:val="0"/>
          <w:sz w:val="22"/>
          <w:szCs w:val="22"/>
        </w:rPr>
        <w:t xml:space="preserve">These forward-looking statements are based on management’s current expectations, assumptions and estimates and are subject to a number of risks and uncertainties, including, without limitation, </w:t>
      </w:r>
      <w:r w:rsidRPr="1EDC3841">
        <w:rPr>
          <w:i/>
          <w:iCs/>
          <w:sz w:val="22"/>
          <w:szCs w:val="22"/>
        </w:rPr>
        <w:t>the expected or potential effects of the novel coronavirus (“COVID-19”) pandemic and the responses of governments, the general global population, our customers, and the Company thereto</w:t>
      </w:r>
      <w:r w:rsidRPr="1EDC3841">
        <w:rPr>
          <w:i/>
          <w:iCs/>
          <w:color w:val="000000"/>
          <w:sz w:val="22"/>
          <w:szCs w:val="22"/>
        </w:rPr>
        <w:t>;</w:t>
      </w:r>
      <w:r w:rsidRPr="1EDC3841">
        <w:rPr>
          <w:i/>
          <w:iCs/>
          <w:snapToGrid w:val="0"/>
          <w:sz w:val="22"/>
          <w:szCs w:val="22"/>
        </w:rPr>
        <w:t xml:space="preserve"> </w:t>
      </w:r>
      <w:r w:rsidRPr="1EDC3841">
        <w:rPr>
          <w:i/>
          <w:iCs/>
          <w:sz w:val="22"/>
          <w:szCs w:val="22"/>
        </w:rPr>
        <w:t xml:space="preserve">impacts resulting </w:t>
      </w:r>
      <w:r w:rsidRPr="00CC4AEF">
        <w:rPr>
          <w:i/>
          <w:sz w:val="22"/>
          <w:szCs w:val="22"/>
        </w:rPr>
        <w:t xml:space="preserve">from the rapidly evolving conflict between Russia and the Ukraine; </w:t>
      </w:r>
      <w:r w:rsidRPr="00CC4AEF">
        <w:rPr>
          <w:i/>
          <w:snapToGrid w:val="0"/>
          <w:sz w:val="22"/>
          <w:szCs w:val="22"/>
        </w:rPr>
        <w:t>that contracts may be terminated by customers;</w:t>
      </w:r>
      <w:r>
        <w:rPr>
          <w:i/>
          <w:snapToGrid w:val="0"/>
          <w:sz w:val="22"/>
          <w:szCs w:val="22"/>
        </w:rPr>
        <w:t xml:space="preserve"> </w:t>
      </w:r>
      <w:r w:rsidRPr="00CC4AEF">
        <w:rPr>
          <w:i/>
          <w:snapToGrid w:val="0"/>
          <w:sz w:val="22"/>
          <w:szCs w:val="22"/>
        </w:rPr>
        <w:t>projected or committed volumes of work may not materialize; continuing reliance on project-based work in the DDS segment and the primarily at-will nature of such contracts and the ability of these customers to reduce, delay or cancel projects; the likelihood of continued development of the markets, particularly new and emerging markets, that our services support; continuing DDS segment revenue concentration in a limited number of customers; potential inability to replace projects that are completed, canceled or reduced; our dependency on content providers in our Agility segment; difficulty in integrating and deriving synergies from acquisitions, joint venture</w:t>
      </w:r>
      <w:r w:rsidR="004521A5">
        <w:rPr>
          <w:i/>
          <w:snapToGrid w:val="0"/>
          <w:sz w:val="22"/>
          <w:szCs w:val="22"/>
        </w:rPr>
        <w:t>s</w:t>
      </w:r>
      <w:r w:rsidRPr="00CC4AEF">
        <w:rPr>
          <w:i/>
          <w:snapToGrid w:val="0"/>
          <w:sz w:val="22"/>
          <w:szCs w:val="22"/>
        </w:rPr>
        <w:t xml:space="preserve"> and strategic investments; potential undiscovered liabilities of companies and businesses that we may acquire; </w:t>
      </w:r>
      <w:r w:rsidRPr="00CC4AEF">
        <w:rPr>
          <w:i/>
          <w:sz w:val="22"/>
          <w:szCs w:val="22"/>
        </w:rPr>
        <w:t xml:space="preserve">potential impairment of the carrying value of goodwill and other acquired intangible assets of companies and businesses that we acquire; a continued downturn in or </w:t>
      </w:r>
      <w:r w:rsidRPr="00CC4AEF">
        <w:rPr>
          <w:i/>
          <w:snapToGrid w:val="0"/>
          <w:sz w:val="22"/>
          <w:szCs w:val="22"/>
        </w:rPr>
        <w:t>depressed market conditions, whether as a result of the COVID-19 pandemic or otherwise; changes in external market factors; the ability and willingness of our customers and prospective customers to execute business plans that give rise to requirements for our services; changes in our business or growth strategy; the emergence of new, or growth in existing competitors; various other competitive and technological factors</w:t>
      </w:r>
      <w:r w:rsidRPr="1EDC3841">
        <w:rPr>
          <w:i/>
          <w:iCs/>
          <w:snapToGrid w:val="0"/>
          <w:sz w:val="22"/>
          <w:szCs w:val="22"/>
        </w:rPr>
        <w:t>;</w:t>
      </w:r>
      <w:r w:rsidRPr="00567586">
        <w:rPr>
          <w:sz w:val="22"/>
          <w:szCs w:val="22"/>
        </w:rPr>
        <w:t xml:space="preserve"> </w:t>
      </w:r>
      <w:r w:rsidRPr="1EDC3841">
        <w:rPr>
          <w:i/>
          <w:iCs/>
          <w:snapToGrid w:val="0"/>
          <w:sz w:val="22"/>
          <w:szCs w:val="22"/>
        </w:rPr>
        <w:t>the Company’s use of and reliance on information technology systems, including potential security breaches, cyber-attacks, privacy breaches or data breaches that result in the unauthorized disclosure of consumer, customer, employee or Company information, or service interruptions</w:t>
      </w:r>
      <w:r w:rsidRPr="009A1E02">
        <w:rPr>
          <w:i/>
          <w:snapToGrid w:val="0"/>
          <w:sz w:val="22"/>
          <w:szCs w:val="22"/>
        </w:rPr>
        <w:t>;</w:t>
      </w:r>
      <w:r w:rsidRPr="00651DCA">
        <w:rPr>
          <w:i/>
          <w:snapToGrid w:val="0"/>
          <w:sz w:val="22"/>
          <w:szCs w:val="22"/>
        </w:rPr>
        <w:t xml:space="preserve"> </w:t>
      </w:r>
      <w:r w:rsidRPr="00784DF5">
        <w:rPr>
          <w:i/>
          <w:snapToGrid w:val="0"/>
          <w:sz w:val="22"/>
          <w:szCs w:val="22"/>
        </w:rPr>
        <w:t xml:space="preserve">and </w:t>
      </w:r>
      <w:r w:rsidRPr="00501AD3">
        <w:rPr>
          <w:i/>
          <w:snapToGrid w:val="0"/>
          <w:sz w:val="22"/>
          <w:szCs w:val="22"/>
        </w:rPr>
        <w:t>the risks discussed in Part I, Item 1A. “Risk Factors”, “Part II, Item 7. “Management’s Discussion and Analysis of Financial Condition and Results of Operations,” and other parts of this Report and</w:t>
      </w:r>
      <w:r w:rsidRPr="00784DF5">
        <w:rPr>
          <w:i/>
          <w:snapToGrid w:val="0"/>
          <w:sz w:val="22"/>
          <w:szCs w:val="22"/>
        </w:rPr>
        <w:t xml:space="preserve"> in our other filings that we may make with the Securities and Exchange Commission (the “SEC”).</w:t>
      </w:r>
    </w:p>
    <w:p w14:paraId="5AF7607C" w14:textId="77777777" w:rsidR="00871A9A" w:rsidRPr="00784DF5" w:rsidRDefault="00871A9A" w:rsidP="009A1E02">
      <w:pPr>
        <w:ind w:firstLine="720"/>
        <w:jc w:val="both"/>
        <w:rPr>
          <w:i/>
          <w:snapToGrid w:val="0"/>
          <w:sz w:val="22"/>
          <w:szCs w:val="22"/>
        </w:rPr>
      </w:pPr>
    </w:p>
    <w:p w14:paraId="1B39954B" w14:textId="77777777" w:rsidR="000C6DBC" w:rsidRPr="00501AD3" w:rsidRDefault="000C6DBC" w:rsidP="000C6DBC">
      <w:pPr>
        <w:ind w:firstLine="720"/>
        <w:jc w:val="both"/>
        <w:rPr>
          <w:i/>
          <w:iCs/>
          <w:sz w:val="22"/>
          <w:szCs w:val="22"/>
        </w:rPr>
      </w:pPr>
      <w:r w:rsidRPr="00501AD3">
        <w:rPr>
          <w:i/>
          <w:iCs/>
          <w:sz w:val="22"/>
          <w:szCs w:val="22"/>
        </w:rPr>
        <w:t>Our actual results could differ materially from the results referred to in forward-looking statements.</w:t>
      </w:r>
      <w:r w:rsidRPr="00501AD3">
        <w:rPr>
          <w:sz w:val="22"/>
          <w:szCs w:val="22"/>
        </w:rPr>
        <w:t xml:space="preserve"> </w:t>
      </w:r>
      <w:r w:rsidRPr="00501AD3">
        <w:rPr>
          <w:i/>
          <w:iCs/>
          <w:sz w:val="22"/>
          <w:szCs w:val="22"/>
        </w:rPr>
        <w:t xml:space="preserve"> In light of these risks and uncertainties, there can be no assurance that the results referred to in the forward-looking statements will occur, and you should not place undue reliance on these forward-looking statements. These forward-looking statements speak only as of the date hereof.</w:t>
      </w:r>
    </w:p>
    <w:p w14:paraId="0B21279B" w14:textId="77777777" w:rsidR="000C6DBC" w:rsidRPr="00501AD3" w:rsidRDefault="000C6DBC" w:rsidP="000C6DBC">
      <w:pPr>
        <w:rPr>
          <w:i/>
          <w:iCs/>
          <w:sz w:val="22"/>
          <w:szCs w:val="22"/>
        </w:rPr>
      </w:pPr>
    </w:p>
    <w:p w14:paraId="11F9121E" w14:textId="77777777" w:rsidR="000C6DBC" w:rsidRPr="00501AD3" w:rsidRDefault="000C6DBC" w:rsidP="000C6DBC">
      <w:pPr>
        <w:ind w:firstLine="720"/>
        <w:jc w:val="both"/>
        <w:rPr>
          <w:i/>
          <w:sz w:val="22"/>
          <w:szCs w:val="22"/>
        </w:rPr>
      </w:pPr>
      <w:r w:rsidRPr="00501AD3">
        <w:rPr>
          <w:i/>
          <w:sz w:val="22"/>
          <w:szCs w:val="22"/>
        </w:rPr>
        <w:t>We undertake no obligation to update or review any guidance or other forward-looking statements, whether as a result of new information, future developments or otherwise, except as may be required by the federal securities laws.</w:t>
      </w:r>
    </w:p>
    <w:bookmarkEnd w:id="4"/>
    <w:p w14:paraId="5C78B03E" w14:textId="533A9B4F" w:rsidR="00A81DCD" w:rsidRPr="00501AD3" w:rsidRDefault="00A81DCD" w:rsidP="00A81DCD">
      <w:pPr>
        <w:tabs>
          <w:tab w:val="left" w:pos="-720"/>
          <w:tab w:val="left" w:pos="720"/>
        </w:tabs>
        <w:suppressAutoHyphens/>
        <w:spacing w:line="240" w:lineRule="atLeast"/>
        <w:jc w:val="both"/>
        <w:rPr>
          <w:spacing w:val="-2"/>
          <w:sz w:val="22"/>
          <w:szCs w:val="22"/>
          <w:highlight w:val="yellow"/>
        </w:rPr>
      </w:pPr>
    </w:p>
    <w:p w14:paraId="3F6D38A2" w14:textId="77777777" w:rsidR="00363CED" w:rsidRPr="002A1476" w:rsidRDefault="00363CED" w:rsidP="00363CED">
      <w:pPr>
        <w:jc w:val="both"/>
        <w:outlineLvl w:val="0"/>
        <w:rPr>
          <w:color w:val="000000" w:themeColor="text1"/>
          <w:sz w:val="22"/>
          <w:szCs w:val="22"/>
        </w:rPr>
      </w:pPr>
      <w:bookmarkStart w:id="7" w:name="_Hlk95837216"/>
      <w:r w:rsidRPr="002A1476">
        <w:rPr>
          <w:rStyle w:val="Strong"/>
          <w:color w:val="000000" w:themeColor="text1"/>
          <w:sz w:val="22"/>
          <w:szCs w:val="22"/>
        </w:rPr>
        <w:t xml:space="preserve">Item 1. Business.   </w:t>
      </w:r>
    </w:p>
    <w:p w14:paraId="5C22626F" w14:textId="77777777" w:rsidR="00363CED" w:rsidRPr="002A1476" w:rsidRDefault="00363CED" w:rsidP="00363CED">
      <w:pPr>
        <w:jc w:val="both"/>
        <w:rPr>
          <w:color w:val="000000" w:themeColor="text1"/>
          <w:sz w:val="22"/>
          <w:szCs w:val="22"/>
        </w:rPr>
      </w:pPr>
      <w:r w:rsidRPr="002A1476">
        <w:rPr>
          <w:color w:val="000000" w:themeColor="text1"/>
          <w:sz w:val="22"/>
          <w:szCs w:val="22"/>
        </w:rPr>
        <w:t> </w:t>
      </w:r>
    </w:p>
    <w:p w14:paraId="2E273662" w14:textId="77777777" w:rsidR="00363CED" w:rsidRPr="002A1476" w:rsidRDefault="00363CED" w:rsidP="00363CED">
      <w:pPr>
        <w:jc w:val="both"/>
        <w:outlineLvl w:val="0"/>
        <w:rPr>
          <w:color w:val="000000" w:themeColor="text1"/>
          <w:sz w:val="22"/>
          <w:szCs w:val="22"/>
        </w:rPr>
      </w:pPr>
      <w:r w:rsidRPr="002A1476">
        <w:rPr>
          <w:rStyle w:val="Strong"/>
          <w:color w:val="000000" w:themeColor="text1"/>
          <w:sz w:val="22"/>
          <w:szCs w:val="22"/>
        </w:rPr>
        <w:t>Business Overview</w:t>
      </w:r>
    </w:p>
    <w:p w14:paraId="315E2352" w14:textId="77777777" w:rsidR="00363CED" w:rsidRPr="002A1476" w:rsidRDefault="00363CED" w:rsidP="00363CED">
      <w:pPr>
        <w:ind w:firstLine="720"/>
        <w:jc w:val="both"/>
        <w:rPr>
          <w:color w:val="000000" w:themeColor="text1"/>
          <w:sz w:val="22"/>
          <w:szCs w:val="22"/>
        </w:rPr>
      </w:pPr>
    </w:p>
    <w:p w14:paraId="037DD2D7" w14:textId="77777777" w:rsidR="00363CED" w:rsidRPr="002A1476" w:rsidRDefault="00363CED" w:rsidP="00363CED">
      <w:pPr>
        <w:ind w:firstLine="720"/>
        <w:jc w:val="both"/>
        <w:rPr>
          <w:strike/>
          <w:color w:val="000000" w:themeColor="text1"/>
          <w:sz w:val="22"/>
          <w:szCs w:val="22"/>
        </w:rPr>
      </w:pPr>
      <w:r w:rsidRPr="002A1476">
        <w:rPr>
          <w:color w:val="000000" w:themeColor="text1"/>
          <w:sz w:val="22"/>
          <w:szCs w:val="22"/>
        </w:rPr>
        <w:t xml:space="preserve">Innodata Inc. (NASDAQ: INOD) (including its subsidiaries, the “Company”, “Innodata”, “we”, “us” or “our”) is a leading data engineering company. Our mission is to help the world’s most prestigious companies </w:t>
      </w:r>
      <w:r w:rsidRPr="002A1476">
        <w:rPr>
          <w:color w:val="000000" w:themeColor="text1"/>
          <w:sz w:val="22"/>
          <w:szCs w:val="22"/>
        </w:rPr>
        <w:lastRenderedPageBreak/>
        <w:t xml:space="preserve">deliver the promise of ethical, high-performing artificial intelligence (“AI”), which we believe </w:t>
      </w:r>
      <w:r>
        <w:rPr>
          <w:color w:val="000000" w:themeColor="text1"/>
          <w:sz w:val="22"/>
          <w:szCs w:val="22"/>
        </w:rPr>
        <w:t>will contribute to</w:t>
      </w:r>
      <w:r w:rsidRPr="002A1476">
        <w:rPr>
          <w:color w:val="000000" w:themeColor="text1"/>
          <w:sz w:val="22"/>
          <w:szCs w:val="22"/>
        </w:rPr>
        <w:t xml:space="preserve"> a safer and more prosperous world.</w:t>
      </w:r>
    </w:p>
    <w:p w14:paraId="0D0E319D" w14:textId="77777777" w:rsidR="00363CED" w:rsidRPr="002A1476" w:rsidRDefault="00363CED" w:rsidP="00363CED">
      <w:pPr>
        <w:pStyle w:val="NormalWeb"/>
        <w:ind w:firstLine="720"/>
        <w:jc w:val="both"/>
        <w:rPr>
          <w:color w:val="000000" w:themeColor="text1"/>
          <w:sz w:val="22"/>
          <w:szCs w:val="22"/>
        </w:rPr>
      </w:pPr>
      <w:r w:rsidRPr="002A1476">
        <w:rPr>
          <w:color w:val="000000" w:themeColor="text1"/>
          <w:sz w:val="22"/>
          <w:szCs w:val="22"/>
        </w:rPr>
        <w:t xml:space="preserve">Innodata was founded on a simple idea: engineer the highest quality data so organizations across broad industry segments could make smarter decisions. Today, </w:t>
      </w:r>
      <w:r>
        <w:rPr>
          <w:color w:val="000000" w:themeColor="text1"/>
          <w:sz w:val="22"/>
          <w:szCs w:val="22"/>
        </w:rPr>
        <w:t xml:space="preserve">we believe that </w:t>
      </w:r>
      <w:r w:rsidRPr="002A1476">
        <w:rPr>
          <w:color w:val="000000" w:themeColor="text1"/>
          <w:sz w:val="22"/>
          <w:szCs w:val="22"/>
        </w:rPr>
        <w:t xml:space="preserve">we’re delivering the highest quality data for some of the world’s most innovative technology companies to use to train the AI </w:t>
      </w:r>
      <w:r>
        <w:rPr>
          <w:color w:val="000000" w:themeColor="text1"/>
          <w:sz w:val="22"/>
          <w:szCs w:val="22"/>
        </w:rPr>
        <w:t>models</w:t>
      </w:r>
      <w:r w:rsidRPr="002A1476">
        <w:rPr>
          <w:color w:val="000000" w:themeColor="text1"/>
          <w:sz w:val="22"/>
          <w:szCs w:val="22"/>
        </w:rPr>
        <w:t xml:space="preserve"> of the future.</w:t>
      </w:r>
    </w:p>
    <w:p w14:paraId="74920DA7" w14:textId="77777777" w:rsidR="00363CED" w:rsidRPr="002A1476" w:rsidRDefault="00363CED" w:rsidP="00363CED">
      <w:pPr>
        <w:pStyle w:val="NormalWeb"/>
        <w:ind w:firstLine="720"/>
        <w:jc w:val="both"/>
        <w:rPr>
          <w:color w:val="000000" w:themeColor="text1"/>
          <w:sz w:val="22"/>
          <w:szCs w:val="22"/>
        </w:rPr>
      </w:pPr>
      <w:r w:rsidRPr="002A1476">
        <w:rPr>
          <w:color w:val="000000" w:themeColor="text1"/>
          <w:sz w:val="22"/>
          <w:szCs w:val="22"/>
        </w:rPr>
        <w:t xml:space="preserve">AI holds the promise that computers can perceive and understand the world, enabling products and services that would have been previously unimaginable and impossible with traditional coding. AI learns from data, and the highest-performing AI will have learned from the highest-quality data. We believe that </w:t>
      </w:r>
      <w:r>
        <w:rPr>
          <w:color w:val="000000" w:themeColor="text1"/>
          <w:sz w:val="22"/>
          <w:szCs w:val="22"/>
        </w:rPr>
        <w:t>we can contribute meaningfully by harnessing our capabilities, honed over 30 years, in collecting and annotating data at scale with consistency and high accuracy.</w:t>
      </w:r>
    </w:p>
    <w:p w14:paraId="2222B3A9" w14:textId="77777777" w:rsidR="00363CED" w:rsidRPr="002A1476" w:rsidRDefault="00363CED" w:rsidP="00363CED">
      <w:pPr>
        <w:pStyle w:val="NormalWeb"/>
        <w:ind w:firstLine="720"/>
        <w:jc w:val="both"/>
        <w:rPr>
          <w:color w:val="000000" w:themeColor="text1"/>
          <w:sz w:val="22"/>
          <w:szCs w:val="22"/>
        </w:rPr>
      </w:pPr>
      <w:r w:rsidRPr="002A1476">
        <w:rPr>
          <w:color w:val="000000" w:themeColor="text1"/>
          <w:sz w:val="22"/>
          <w:szCs w:val="22"/>
        </w:rPr>
        <w:t>We’re also help</w:t>
      </w:r>
      <w:r>
        <w:rPr>
          <w:color w:val="000000" w:themeColor="text1"/>
          <w:sz w:val="22"/>
          <w:szCs w:val="22"/>
        </w:rPr>
        <w:t>ing</w:t>
      </w:r>
      <w:r w:rsidRPr="002A1476">
        <w:rPr>
          <w:color w:val="000000" w:themeColor="text1"/>
          <w:sz w:val="22"/>
          <w:szCs w:val="22"/>
        </w:rPr>
        <w:t xml:space="preserve"> companies deploy and integrate AI </w:t>
      </w:r>
      <w:r>
        <w:rPr>
          <w:color w:val="000000" w:themeColor="text1"/>
          <w:sz w:val="22"/>
          <w:szCs w:val="22"/>
        </w:rPr>
        <w:t xml:space="preserve">into their operations and products and providing innovative </w:t>
      </w:r>
      <w:r w:rsidRPr="002A1476">
        <w:rPr>
          <w:color w:val="000000" w:themeColor="text1"/>
          <w:sz w:val="22"/>
          <w:szCs w:val="22"/>
        </w:rPr>
        <w:t xml:space="preserve">AI-enabled </w:t>
      </w:r>
      <w:r>
        <w:rPr>
          <w:color w:val="000000" w:themeColor="text1"/>
          <w:sz w:val="22"/>
          <w:szCs w:val="22"/>
        </w:rPr>
        <w:t>industry platforms</w:t>
      </w:r>
      <w:r w:rsidRPr="002A1476">
        <w:rPr>
          <w:color w:val="000000" w:themeColor="text1"/>
          <w:sz w:val="22"/>
          <w:szCs w:val="22"/>
        </w:rPr>
        <w:t xml:space="preserve">, </w:t>
      </w:r>
      <w:r>
        <w:rPr>
          <w:color w:val="000000" w:themeColor="text1"/>
          <w:sz w:val="22"/>
          <w:szCs w:val="22"/>
        </w:rPr>
        <w:t>helping ensure</w:t>
      </w:r>
      <w:r w:rsidRPr="002A1476">
        <w:rPr>
          <w:color w:val="000000" w:themeColor="text1"/>
          <w:sz w:val="22"/>
          <w:szCs w:val="22"/>
        </w:rPr>
        <w:t xml:space="preserve"> </w:t>
      </w:r>
      <w:r>
        <w:rPr>
          <w:color w:val="000000" w:themeColor="text1"/>
          <w:sz w:val="22"/>
          <w:szCs w:val="22"/>
        </w:rPr>
        <w:t>that our customers’ businesses are prepared</w:t>
      </w:r>
      <w:r w:rsidRPr="002A1476">
        <w:rPr>
          <w:color w:val="000000" w:themeColor="text1"/>
          <w:sz w:val="22"/>
          <w:szCs w:val="22"/>
        </w:rPr>
        <w:t xml:space="preserve"> for a world in which machines augment human activity in ways previously unimaginable. </w:t>
      </w:r>
    </w:p>
    <w:p w14:paraId="285314C4" w14:textId="77777777" w:rsidR="00363CED" w:rsidRPr="002A1476" w:rsidRDefault="00363CED" w:rsidP="00363CED">
      <w:pPr>
        <w:pStyle w:val="NormalWeb"/>
        <w:spacing w:before="0" w:beforeAutospacing="0" w:after="0" w:afterAutospacing="0"/>
        <w:jc w:val="both"/>
        <w:rPr>
          <w:b/>
          <w:color w:val="000000" w:themeColor="text1"/>
          <w:sz w:val="22"/>
          <w:szCs w:val="22"/>
        </w:rPr>
      </w:pPr>
      <w:r w:rsidRPr="002A1476">
        <w:rPr>
          <w:b/>
          <w:color w:val="000000" w:themeColor="text1"/>
          <w:sz w:val="22"/>
          <w:szCs w:val="22"/>
        </w:rPr>
        <w:t>Market Opportunities</w:t>
      </w:r>
    </w:p>
    <w:p w14:paraId="165069CA" w14:textId="77777777" w:rsidR="00363CED" w:rsidRPr="002A1476" w:rsidRDefault="00363CED" w:rsidP="00363CED">
      <w:pPr>
        <w:pStyle w:val="NormalWeb"/>
        <w:spacing w:before="0" w:beforeAutospacing="0" w:after="0" w:afterAutospacing="0"/>
        <w:jc w:val="both"/>
        <w:rPr>
          <w:b/>
          <w:color w:val="000000" w:themeColor="text1"/>
          <w:sz w:val="22"/>
          <w:szCs w:val="22"/>
        </w:rPr>
      </w:pPr>
    </w:p>
    <w:p w14:paraId="25F721E8" w14:textId="77777777" w:rsidR="00363CED" w:rsidRPr="002A1476" w:rsidRDefault="00363CED" w:rsidP="00363CED">
      <w:pPr>
        <w:pStyle w:val="NormalWeb"/>
        <w:spacing w:before="0" w:beforeAutospacing="0" w:after="0" w:afterAutospacing="0"/>
        <w:jc w:val="both"/>
        <w:rPr>
          <w:b/>
          <w:color w:val="000000" w:themeColor="text1"/>
          <w:sz w:val="22"/>
          <w:szCs w:val="22"/>
        </w:rPr>
      </w:pPr>
      <w:r w:rsidRPr="002A1476">
        <w:rPr>
          <w:b/>
          <w:color w:val="000000" w:themeColor="text1"/>
          <w:sz w:val="22"/>
          <w:szCs w:val="22"/>
        </w:rPr>
        <w:tab/>
        <w:t>AI Data Preparation</w:t>
      </w:r>
    </w:p>
    <w:p w14:paraId="14DC8B9D"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p>
    <w:p w14:paraId="6BE4C0B4"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r w:rsidRPr="002A1476">
        <w:rPr>
          <w:bCs/>
          <w:color w:val="000000" w:themeColor="text1"/>
          <w:sz w:val="22"/>
          <w:szCs w:val="22"/>
        </w:rPr>
        <w:t xml:space="preserve">AI applications are </w:t>
      </w:r>
      <w:r w:rsidRPr="002A1476">
        <w:rPr>
          <w:bCs/>
          <w:i/>
          <w:iCs/>
          <w:color w:val="000000" w:themeColor="text1"/>
          <w:sz w:val="22"/>
          <w:szCs w:val="22"/>
        </w:rPr>
        <w:t>trained</w:t>
      </w:r>
      <w:r w:rsidRPr="002A1476">
        <w:rPr>
          <w:bCs/>
          <w:color w:val="000000" w:themeColor="text1"/>
          <w:sz w:val="22"/>
          <w:szCs w:val="22"/>
        </w:rPr>
        <w:t xml:space="preserve"> with large quantities of data, unlike traditional computer applications that use languages such </w:t>
      </w:r>
      <w:r>
        <w:rPr>
          <w:bCs/>
          <w:color w:val="000000" w:themeColor="text1"/>
          <w:sz w:val="22"/>
          <w:szCs w:val="22"/>
        </w:rPr>
        <w:t xml:space="preserve">as </w:t>
      </w:r>
      <w:r w:rsidRPr="002A1476">
        <w:rPr>
          <w:bCs/>
          <w:color w:val="000000" w:themeColor="text1"/>
          <w:sz w:val="22"/>
          <w:szCs w:val="22"/>
        </w:rPr>
        <w:t xml:space="preserve">Python and Java to tell computers what to do. AI applications </w:t>
      </w:r>
      <w:r w:rsidRPr="002A1476">
        <w:rPr>
          <w:bCs/>
          <w:i/>
          <w:iCs/>
          <w:color w:val="000000" w:themeColor="text1"/>
          <w:sz w:val="22"/>
          <w:szCs w:val="22"/>
        </w:rPr>
        <w:t>learn</w:t>
      </w:r>
      <w:r w:rsidRPr="002A1476">
        <w:rPr>
          <w:bCs/>
          <w:color w:val="000000" w:themeColor="text1"/>
          <w:sz w:val="22"/>
          <w:szCs w:val="22"/>
        </w:rPr>
        <w:t xml:space="preserve"> from the data through a series of regressions. Today’s highest performing AI applications (such as OpenAI’s ChatGPT) would never </w:t>
      </w:r>
      <w:r>
        <w:rPr>
          <w:bCs/>
          <w:color w:val="000000" w:themeColor="text1"/>
          <w:sz w:val="22"/>
          <w:szCs w:val="22"/>
        </w:rPr>
        <w:t>have been</w:t>
      </w:r>
      <w:r w:rsidRPr="002A1476">
        <w:rPr>
          <w:bCs/>
          <w:color w:val="000000" w:themeColor="text1"/>
          <w:sz w:val="22"/>
          <w:szCs w:val="22"/>
        </w:rPr>
        <w:t xml:space="preserve"> possible to build through traditional programming.</w:t>
      </w:r>
    </w:p>
    <w:p w14:paraId="41C19BD9"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p>
    <w:p w14:paraId="3B84A162" w14:textId="77777777" w:rsidR="00363CED" w:rsidRDefault="00363CED" w:rsidP="00363CED">
      <w:pPr>
        <w:pStyle w:val="NormalWeb"/>
        <w:spacing w:before="0" w:beforeAutospacing="0" w:after="0" w:afterAutospacing="0"/>
        <w:ind w:firstLine="720"/>
        <w:jc w:val="both"/>
        <w:rPr>
          <w:bCs/>
          <w:color w:val="000000" w:themeColor="text1"/>
          <w:sz w:val="22"/>
          <w:szCs w:val="22"/>
        </w:rPr>
      </w:pPr>
      <w:r>
        <w:rPr>
          <w:bCs/>
          <w:color w:val="000000" w:themeColor="text1"/>
          <w:sz w:val="22"/>
          <w:szCs w:val="22"/>
        </w:rPr>
        <w:t xml:space="preserve">Data science teams at some of the largest technology companies are accelerating development of generative AI technologies that produce high quality text, code, and images in response to user prompts. At their core, they rely upon large language models (LLMs), which are deep neural networks (an artificial intelligence architecture) with billions of parameters and requiring massive amounts of training data to encode the essence of human language. They also require fine-tuning through supervised learning and reinforcement learning from human feedback (RLHF) to render them suitable for specialized tasks and domains, to control hallucinations </w:t>
      </w:r>
      <w:r>
        <w:rPr>
          <w:rStyle w:val="contentpasted3"/>
          <w:rFonts w:ascii="Calibri" w:hAnsi="Calibri" w:cs="Calibri"/>
          <w:color w:val="000000"/>
          <w:shd w:val="clear" w:color="auto" w:fill="FFFFFF"/>
        </w:rPr>
        <w:t>(</w:t>
      </w:r>
      <w:r w:rsidRPr="009420D2">
        <w:rPr>
          <w:rStyle w:val="contentpasted3"/>
          <w:color w:val="000000"/>
          <w:sz w:val="22"/>
          <w:szCs w:val="22"/>
          <w:shd w:val="clear" w:color="auto" w:fill="FFFFFF"/>
        </w:rPr>
        <w:t>the tendency of these models to make up things on the fly)</w:t>
      </w:r>
      <w:r w:rsidRPr="009420D2">
        <w:rPr>
          <w:color w:val="000000"/>
          <w:sz w:val="22"/>
          <w:szCs w:val="22"/>
          <w:shd w:val="clear" w:color="auto" w:fill="FFFFFF"/>
        </w:rPr>
        <w:t>,</w:t>
      </w:r>
      <w:r w:rsidRPr="003119A1">
        <w:rPr>
          <w:bCs/>
          <w:color w:val="000000" w:themeColor="text1"/>
          <w:sz w:val="22"/>
          <w:szCs w:val="22"/>
        </w:rPr>
        <w:t xml:space="preserve"> </w:t>
      </w:r>
      <w:r>
        <w:rPr>
          <w:bCs/>
          <w:color w:val="000000" w:themeColor="text1"/>
          <w:sz w:val="22"/>
          <w:szCs w:val="22"/>
        </w:rPr>
        <w:t>and to minimize the risk that they generate unsafe or biased results.</w:t>
      </w:r>
    </w:p>
    <w:p w14:paraId="6A30065D" w14:textId="77777777" w:rsidR="00363CED" w:rsidRDefault="00363CED" w:rsidP="00363CED">
      <w:pPr>
        <w:pStyle w:val="NormalWeb"/>
        <w:spacing w:before="0" w:beforeAutospacing="0" w:after="0" w:afterAutospacing="0"/>
        <w:ind w:firstLine="720"/>
        <w:jc w:val="both"/>
        <w:rPr>
          <w:bCs/>
          <w:color w:val="000000" w:themeColor="text1"/>
          <w:sz w:val="22"/>
          <w:szCs w:val="22"/>
        </w:rPr>
      </w:pPr>
    </w:p>
    <w:p w14:paraId="4F710EDA" w14:textId="77777777" w:rsidR="00363CED" w:rsidRDefault="00363CED" w:rsidP="00363CED">
      <w:pPr>
        <w:pStyle w:val="NormalWeb"/>
        <w:spacing w:before="0" w:beforeAutospacing="0" w:after="0" w:afterAutospacing="0"/>
        <w:ind w:firstLine="720"/>
        <w:jc w:val="both"/>
        <w:rPr>
          <w:bCs/>
          <w:color w:val="000000" w:themeColor="text1"/>
          <w:sz w:val="22"/>
          <w:szCs w:val="22"/>
        </w:rPr>
      </w:pPr>
      <w:r>
        <w:rPr>
          <w:bCs/>
          <w:color w:val="000000" w:themeColor="text1"/>
          <w:sz w:val="22"/>
          <w:szCs w:val="22"/>
        </w:rPr>
        <w:t>In addition, c</w:t>
      </w:r>
      <w:r w:rsidRPr="002A1476">
        <w:rPr>
          <w:bCs/>
          <w:color w:val="000000" w:themeColor="text1"/>
          <w:sz w:val="22"/>
          <w:szCs w:val="22"/>
        </w:rPr>
        <w:t>ompanies across industry verticals are seeking to develop AI-based applications for an ever-increasing variety of use cases such as self-driving cars, surveillance systems, automated medical diagnostics, digital assistants</w:t>
      </w:r>
      <w:r>
        <w:rPr>
          <w:bCs/>
          <w:color w:val="000000" w:themeColor="text1"/>
          <w:sz w:val="22"/>
          <w:szCs w:val="22"/>
        </w:rPr>
        <w:t xml:space="preserve">, </w:t>
      </w:r>
      <w:r w:rsidRPr="002A1476">
        <w:rPr>
          <w:bCs/>
          <w:color w:val="000000" w:themeColor="text1"/>
          <w:sz w:val="22"/>
          <w:szCs w:val="22"/>
        </w:rPr>
        <w:t xml:space="preserve">chatbots, content moderation, robotics, fraud detection and contract </w:t>
      </w:r>
      <w:r>
        <w:rPr>
          <w:bCs/>
          <w:color w:val="000000" w:themeColor="text1"/>
          <w:sz w:val="22"/>
          <w:szCs w:val="22"/>
        </w:rPr>
        <w:t xml:space="preserve">review. </w:t>
      </w:r>
    </w:p>
    <w:p w14:paraId="3F539EB5" w14:textId="77777777" w:rsidR="00363CED" w:rsidRDefault="00363CED" w:rsidP="00363CED">
      <w:pPr>
        <w:pStyle w:val="NormalWeb"/>
        <w:spacing w:before="0" w:beforeAutospacing="0" w:after="0" w:afterAutospacing="0"/>
        <w:ind w:firstLine="720"/>
        <w:jc w:val="both"/>
        <w:rPr>
          <w:bCs/>
          <w:color w:val="000000" w:themeColor="text1"/>
          <w:sz w:val="22"/>
          <w:szCs w:val="22"/>
        </w:rPr>
      </w:pPr>
    </w:p>
    <w:p w14:paraId="05FC539C" w14:textId="77777777" w:rsidR="00363CED" w:rsidRDefault="00363CED" w:rsidP="00363CED">
      <w:pPr>
        <w:pStyle w:val="NormalWeb"/>
        <w:spacing w:before="0" w:beforeAutospacing="0" w:after="0" w:afterAutospacing="0"/>
        <w:ind w:firstLine="720"/>
        <w:jc w:val="both"/>
        <w:rPr>
          <w:bCs/>
          <w:color w:val="000000" w:themeColor="text1"/>
          <w:sz w:val="22"/>
          <w:szCs w:val="22"/>
        </w:rPr>
      </w:pPr>
      <w:r w:rsidRPr="002A1476">
        <w:rPr>
          <w:bCs/>
          <w:color w:val="000000" w:themeColor="text1"/>
          <w:sz w:val="22"/>
          <w:szCs w:val="22"/>
        </w:rPr>
        <w:t xml:space="preserve">Developing high-quality training data is critical for </w:t>
      </w:r>
      <w:r>
        <w:rPr>
          <w:bCs/>
          <w:color w:val="000000" w:themeColor="text1"/>
          <w:sz w:val="22"/>
          <w:szCs w:val="22"/>
        </w:rPr>
        <w:t xml:space="preserve">the </w:t>
      </w:r>
      <w:r w:rsidRPr="002A1476">
        <w:rPr>
          <w:bCs/>
          <w:color w:val="000000" w:themeColor="text1"/>
          <w:sz w:val="22"/>
          <w:szCs w:val="22"/>
        </w:rPr>
        <w:t>AI to perform correctly, but often requires technology and skilled human resources that data science teams lack. Moreover, developing high-quality data takes up 80% of the time for most AI and ML projects.</w:t>
      </w:r>
      <w:r w:rsidRPr="002A1476">
        <w:rPr>
          <w:rStyle w:val="FootnoteReference"/>
          <w:bCs/>
          <w:color w:val="000000" w:themeColor="text1"/>
          <w:sz w:val="22"/>
          <w:szCs w:val="22"/>
        </w:rPr>
        <w:footnoteReference w:id="2"/>
      </w:r>
    </w:p>
    <w:p w14:paraId="3C203095" w14:textId="77777777" w:rsidR="00363CED" w:rsidRDefault="00363CED" w:rsidP="00363CED">
      <w:pPr>
        <w:pStyle w:val="NormalWeb"/>
        <w:spacing w:before="0" w:beforeAutospacing="0" w:after="0" w:afterAutospacing="0"/>
        <w:ind w:firstLine="720"/>
        <w:jc w:val="both"/>
        <w:rPr>
          <w:bCs/>
          <w:color w:val="000000" w:themeColor="text1"/>
          <w:sz w:val="22"/>
          <w:szCs w:val="22"/>
        </w:rPr>
      </w:pPr>
    </w:p>
    <w:p w14:paraId="39F4A4B6"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r w:rsidRPr="002A1476">
        <w:rPr>
          <w:bCs/>
          <w:color w:val="000000" w:themeColor="text1"/>
          <w:sz w:val="22"/>
          <w:szCs w:val="22"/>
        </w:rPr>
        <w:t xml:space="preserve">Data sciences teams seek partners that can perform </w:t>
      </w:r>
      <w:r>
        <w:rPr>
          <w:bCs/>
          <w:color w:val="000000" w:themeColor="text1"/>
          <w:sz w:val="22"/>
          <w:szCs w:val="22"/>
        </w:rPr>
        <w:t xml:space="preserve">these </w:t>
      </w:r>
      <w:r w:rsidRPr="002A1476">
        <w:rPr>
          <w:bCs/>
          <w:color w:val="000000" w:themeColor="text1"/>
          <w:sz w:val="22"/>
          <w:szCs w:val="22"/>
        </w:rPr>
        <w:t xml:space="preserve">data preparation functions for them at large-scale and at high quality, while using automated tools to minimize cost. </w:t>
      </w:r>
      <w:r>
        <w:rPr>
          <w:bCs/>
          <w:color w:val="000000" w:themeColor="text1"/>
          <w:sz w:val="22"/>
          <w:szCs w:val="22"/>
        </w:rPr>
        <w:t>As</w:t>
      </w:r>
      <w:r w:rsidRPr="002A1476">
        <w:rPr>
          <w:bCs/>
          <w:color w:val="000000" w:themeColor="text1"/>
          <w:sz w:val="22"/>
          <w:szCs w:val="22"/>
        </w:rPr>
        <w:t xml:space="preserve"> AI projects become more specialized and mission-critical and data preparation becomes increasingly complex, data science teams seek partners with deep domain knowledge and an infrastructure in which data security is assured.</w:t>
      </w:r>
      <w:r>
        <w:rPr>
          <w:bCs/>
          <w:color w:val="000000" w:themeColor="text1"/>
          <w:sz w:val="22"/>
          <w:szCs w:val="22"/>
        </w:rPr>
        <w:t xml:space="preserve">  </w:t>
      </w:r>
    </w:p>
    <w:p w14:paraId="795FB920" w14:textId="77777777" w:rsidR="00363CED" w:rsidRPr="002A1476" w:rsidRDefault="00363CED" w:rsidP="00363CED">
      <w:pPr>
        <w:pStyle w:val="NormalWeb"/>
        <w:ind w:firstLine="720"/>
        <w:jc w:val="both"/>
        <w:rPr>
          <w:bCs/>
          <w:color w:val="000000" w:themeColor="text1"/>
          <w:sz w:val="22"/>
          <w:szCs w:val="22"/>
        </w:rPr>
      </w:pPr>
      <w:r w:rsidRPr="002A1476">
        <w:rPr>
          <w:bCs/>
          <w:color w:val="000000" w:themeColor="text1"/>
          <w:sz w:val="22"/>
          <w:szCs w:val="22"/>
        </w:rPr>
        <w:t>We believe that Innodata is ideally situated to partner with data science teams.</w:t>
      </w:r>
    </w:p>
    <w:p w14:paraId="684DE6C0" w14:textId="77777777" w:rsidR="00363CED" w:rsidRPr="002A1476" w:rsidRDefault="00363CED" w:rsidP="00363CED">
      <w:pPr>
        <w:pStyle w:val="NormalWeb"/>
        <w:jc w:val="both"/>
        <w:rPr>
          <w:color w:val="000000" w:themeColor="text1"/>
          <w:sz w:val="22"/>
          <w:szCs w:val="22"/>
        </w:rPr>
      </w:pPr>
      <w:r w:rsidRPr="002A1476">
        <w:rPr>
          <w:bCs/>
          <w:color w:val="000000" w:themeColor="text1"/>
          <w:sz w:val="22"/>
          <w:szCs w:val="22"/>
        </w:rPr>
        <w:lastRenderedPageBreak/>
        <w:tab/>
        <w:t xml:space="preserve">We collect or create training data, annotate training data, and train AI algorithms for social media companies, robotics companies, financial services companies, and many others, working with images, text, video and audio. </w:t>
      </w:r>
      <w:r w:rsidRPr="002A1476">
        <w:rPr>
          <w:color w:val="000000" w:themeColor="text1"/>
          <w:sz w:val="22"/>
          <w:szCs w:val="22"/>
        </w:rPr>
        <w:t>We utilize a variety of leading third-party image and video annotation tools. For text, we use our proprietary data annotation platform that incorporates AI to reduce cost while improving consistency and quality of output. Our proprietary data annotation platform features auto-tagging capabilities that apply to both classical and generative AI tasks. Our platform encapsulates many of the innovations we have conceived of in the course of our 30-year history of creating high-quality data.</w:t>
      </w:r>
    </w:p>
    <w:p w14:paraId="0F9A43C5" w14:textId="77777777" w:rsidR="00363CED" w:rsidRPr="002A1476" w:rsidRDefault="00363CED" w:rsidP="00363CED">
      <w:pPr>
        <w:pStyle w:val="NormalWeb"/>
        <w:ind w:firstLine="720"/>
        <w:jc w:val="both"/>
        <w:rPr>
          <w:color w:val="000000" w:themeColor="text1"/>
          <w:sz w:val="22"/>
          <w:szCs w:val="22"/>
        </w:rPr>
      </w:pPr>
      <w:r w:rsidRPr="002A1476">
        <w:rPr>
          <w:bCs/>
          <w:color w:val="000000" w:themeColor="text1"/>
          <w:sz w:val="22"/>
          <w:szCs w:val="22"/>
        </w:rPr>
        <w:t>In addition, because collecting real-world data is often impracticable (due to data privacy regulations or rarity of cohorts and outliers), w</w:t>
      </w:r>
      <w:r w:rsidRPr="002A1476">
        <w:rPr>
          <w:color w:val="000000" w:themeColor="text1"/>
          <w:sz w:val="22"/>
          <w:szCs w:val="22"/>
        </w:rPr>
        <w:t xml:space="preserve">e create high-quality synthetic data </w:t>
      </w:r>
      <w:r w:rsidRPr="002A1476">
        <w:rPr>
          <w:bCs/>
          <w:color w:val="000000" w:themeColor="text1"/>
          <w:sz w:val="22"/>
          <w:szCs w:val="22"/>
        </w:rPr>
        <w:t>that maintains all of the statistical properties of real-world data, u</w:t>
      </w:r>
      <w:r w:rsidRPr="002A1476">
        <w:rPr>
          <w:color w:val="000000" w:themeColor="text1"/>
          <w:sz w:val="22"/>
          <w:szCs w:val="22"/>
        </w:rPr>
        <w:t xml:space="preserve">sing a combination of domain specialists and machine technologies that leverage </w:t>
      </w:r>
      <w:r>
        <w:rPr>
          <w:color w:val="000000" w:themeColor="text1"/>
          <w:sz w:val="22"/>
          <w:szCs w:val="22"/>
        </w:rPr>
        <w:t>LLMs.</w:t>
      </w:r>
    </w:p>
    <w:p w14:paraId="2C26A540" w14:textId="77777777" w:rsidR="00363CED" w:rsidRPr="002A1476" w:rsidRDefault="00363CED" w:rsidP="00363CED">
      <w:pPr>
        <w:pStyle w:val="NormalWeb"/>
        <w:ind w:firstLine="720"/>
        <w:jc w:val="both"/>
        <w:rPr>
          <w:color w:val="000000" w:themeColor="text1"/>
          <w:sz w:val="22"/>
          <w:szCs w:val="22"/>
        </w:rPr>
      </w:pPr>
      <w:r w:rsidRPr="002A1476">
        <w:rPr>
          <w:color w:val="000000" w:themeColor="text1"/>
          <w:sz w:val="22"/>
          <w:szCs w:val="22"/>
        </w:rPr>
        <w:t xml:space="preserve">We are presently working with or in pilots </w:t>
      </w:r>
      <w:r>
        <w:rPr>
          <w:color w:val="000000" w:themeColor="text1"/>
          <w:sz w:val="22"/>
          <w:szCs w:val="22"/>
        </w:rPr>
        <w:t xml:space="preserve">or </w:t>
      </w:r>
      <w:r w:rsidRPr="002A1476">
        <w:rPr>
          <w:color w:val="000000" w:themeColor="text1"/>
          <w:sz w:val="22"/>
          <w:szCs w:val="22"/>
        </w:rPr>
        <w:t xml:space="preserve">advanced discussions with </w:t>
      </w:r>
      <w:r>
        <w:rPr>
          <w:color w:val="000000" w:themeColor="text1"/>
          <w:sz w:val="22"/>
          <w:szCs w:val="22"/>
        </w:rPr>
        <w:t>four of the five</w:t>
      </w:r>
      <w:r w:rsidRPr="002A1476">
        <w:rPr>
          <w:color w:val="000000" w:themeColor="text1"/>
          <w:sz w:val="22"/>
          <w:szCs w:val="22"/>
        </w:rPr>
        <w:t xml:space="preserve"> largest technology companies</w:t>
      </w:r>
      <w:r>
        <w:rPr>
          <w:color w:val="000000" w:themeColor="text1"/>
          <w:sz w:val="22"/>
          <w:szCs w:val="22"/>
        </w:rPr>
        <w:t>,</w:t>
      </w:r>
      <w:r w:rsidRPr="002A1476">
        <w:rPr>
          <w:color w:val="000000" w:themeColor="text1"/>
          <w:sz w:val="22"/>
          <w:szCs w:val="22"/>
        </w:rPr>
        <w:t xml:space="preserve"> and several of the world’s leading brands spanning multiple verticals</w:t>
      </w:r>
      <w:r>
        <w:rPr>
          <w:color w:val="000000" w:themeColor="text1"/>
          <w:sz w:val="22"/>
          <w:szCs w:val="22"/>
        </w:rPr>
        <w:t>,</w:t>
      </w:r>
      <w:r w:rsidRPr="002A1476">
        <w:rPr>
          <w:color w:val="000000" w:themeColor="text1"/>
          <w:sz w:val="22"/>
          <w:szCs w:val="22"/>
        </w:rPr>
        <w:t xml:space="preserve"> to enable, accelerate or enrich the services they deliver to end users</w:t>
      </w:r>
      <w:r>
        <w:rPr>
          <w:color w:val="000000" w:themeColor="text1"/>
          <w:sz w:val="22"/>
          <w:szCs w:val="22"/>
        </w:rPr>
        <w:t xml:space="preserve"> around </w:t>
      </w:r>
      <w:r w:rsidRPr="002A1476">
        <w:rPr>
          <w:color w:val="000000" w:themeColor="text1"/>
          <w:sz w:val="22"/>
          <w:szCs w:val="22"/>
        </w:rPr>
        <w:t xml:space="preserve">chatbot assistance, facial recognition, social networking, gaming, drones, medical diagnostics and robotics, to name a few. </w:t>
      </w:r>
    </w:p>
    <w:p w14:paraId="619E4311" w14:textId="77777777" w:rsidR="00363CED" w:rsidRPr="002A1476" w:rsidRDefault="00363CED" w:rsidP="00363CED">
      <w:pPr>
        <w:pStyle w:val="NormalWeb"/>
        <w:ind w:firstLine="720"/>
        <w:jc w:val="both"/>
        <w:rPr>
          <w:bCs/>
          <w:color w:val="000000" w:themeColor="text1"/>
          <w:sz w:val="22"/>
          <w:szCs w:val="22"/>
        </w:rPr>
      </w:pPr>
      <w:r w:rsidRPr="002A1476">
        <w:rPr>
          <w:bCs/>
          <w:color w:val="000000" w:themeColor="text1"/>
          <w:sz w:val="22"/>
          <w:szCs w:val="22"/>
        </w:rPr>
        <w:t xml:space="preserve">The AI data training market is </w:t>
      </w:r>
      <w:r>
        <w:rPr>
          <w:bCs/>
          <w:color w:val="000000" w:themeColor="text1"/>
          <w:sz w:val="22"/>
          <w:szCs w:val="22"/>
        </w:rPr>
        <w:t>estimated to have been $8.8 billion in 2022, projected to grow at a CAGR of 24% to reach $74.5 billion by 2032</w:t>
      </w:r>
      <w:r w:rsidRPr="002A1476">
        <w:rPr>
          <w:bCs/>
          <w:color w:val="000000" w:themeColor="text1"/>
          <w:sz w:val="22"/>
          <w:szCs w:val="22"/>
        </w:rPr>
        <w:t>,</w:t>
      </w:r>
      <w:r w:rsidRPr="002A1476">
        <w:rPr>
          <w:bCs/>
          <w:color w:val="000000" w:themeColor="text1"/>
          <w:sz w:val="22"/>
          <w:szCs w:val="22"/>
          <w:vertAlign w:val="superscript"/>
        </w:rPr>
        <w:footnoteReference w:id="3"/>
      </w:r>
      <w:r w:rsidRPr="002A1476">
        <w:rPr>
          <w:bCs/>
          <w:color w:val="000000" w:themeColor="text1"/>
          <w:sz w:val="22"/>
          <w:szCs w:val="22"/>
          <w:vertAlign w:val="superscript"/>
        </w:rPr>
        <w:t xml:space="preserve"> </w:t>
      </w:r>
      <w:r w:rsidRPr="002A1476">
        <w:rPr>
          <w:bCs/>
          <w:color w:val="000000" w:themeColor="text1"/>
          <w:sz w:val="22"/>
          <w:szCs w:val="22"/>
        </w:rPr>
        <w:t xml:space="preserve"> essentially proxying the enormous growth expected in AI system spending overall ($</w:t>
      </w:r>
      <w:r>
        <w:rPr>
          <w:bCs/>
          <w:color w:val="000000" w:themeColor="text1"/>
          <w:sz w:val="22"/>
          <w:szCs w:val="22"/>
        </w:rPr>
        <w:t>118</w:t>
      </w:r>
      <w:r w:rsidRPr="002A1476">
        <w:rPr>
          <w:bCs/>
          <w:color w:val="000000" w:themeColor="text1"/>
          <w:sz w:val="22"/>
          <w:szCs w:val="22"/>
        </w:rPr>
        <w:t xml:space="preserve"> billion in 202</w:t>
      </w:r>
      <w:r>
        <w:rPr>
          <w:bCs/>
          <w:color w:val="000000" w:themeColor="text1"/>
          <w:sz w:val="22"/>
          <w:szCs w:val="22"/>
        </w:rPr>
        <w:t>2</w:t>
      </w:r>
      <w:r w:rsidRPr="002A1476">
        <w:rPr>
          <w:bCs/>
          <w:color w:val="000000" w:themeColor="text1"/>
          <w:sz w:val="22"/>
          <w:szCs w:val="22"/>
        </w:rPr>
        <w:t>, $</w:t>
      </w:r>
      <w:r>
        <w:rPr>
          <w:bCs/>
          <w:color w:val="000000" w:themeColor="text1"/>
          <w:sz w:val="22"/>
          <w:szCs w:val="22"/>
        </w:rPr>
        <w:t>301</w:t>
      </w:r>
      <w:r w:rsidRPr="002A1476">
        <w:rPr>
          <w:bCs/>
          <w:color w:val="000000" w:themeColor="text1"/>
          <w:sz w:val="22"/>
          <w:szCs w:val="22"/>
        </w:rPr>
        <w:t xml:space="preserve"> billion in 202</w:t>
      </w:r>
      <w:r>
        <w:rPr>
          <w:bCs/>
          <w:color w:val="000000" w:themeColor="text1"/>
          <w:sz w:val="22"/>
          <w:szCs w:val="22"/>
        </w:rPr>
        <w:t>6</w:t>
      </w:r>
      <w:r w:rsidRPr="002A1476">
        <w:rPr>
          <w:bCs/>
          <w:color w:val="000000" w:themeColor="text1"/>
          <w:sz w:val="22"/>
          <w:szCs w:val="22"/>
        </w:rPr>
        <w:t>, a 2</w:t>
      </w:r>
      <w:r>
        <w:rPr>
          <w:bCs/>
          <w:color w:val="000000" w:themeColor="text1"/>
          <w:sz w:val="22"/>
          <w:szCs w:val="22"/>
        </w:rPr>
        <w:t>6.5</w:t>
      </w:r>
      <w:r w:rsidRPr="002A1476">
        <w:rPr>
          <w:bCs/>
          <w:color w:val="000000" w:themeColor="text1"/>
          <w:sz w:val="22"/>
          <w:szCs w:val="22"/>
        </w:rPr>
        <w:t>% CAGR).</w:t>
      </w:r>
      <w:r w:rsidRPr="002A1476">
        <w:rPr>
          <w:rStyle w:val="FootnoteReference"/>
          <w:bCs/>
          <w:color w:val="000000" w:themeColor="text1"/>
          <w:sz w:val="22"/>
          <w:szCs w:val="22"/>
        </w:rPr>
        <w:footnoteReference w:id="4"/>
      </w:r>
      <w:r w:rsidRPr="002A1476">
        <w:rPr>
          <w:bCs/>
          <w:color w:val="000000" w:themeColor="text1"/>
          <w:sz w:val="22"/>
          <w:szCs w:val="22"/>
        </w:rPr>
        <w:t xml:space="preserve"> Similarly, the global data annotation tools market was valued at $</w:t>
      </w:r>
      <w:r>
        <w:rPr>
          <w:bCs/>
          <w:color w:val="000000" w:themeColor="text1"/>
          <w:sz w:val="22"/>
          <w:szCs w:val="22"/>
        </w:rPr>
        <w:t>1 billion</w:t>
      </w:r>
      <w:r w:rsidRPr="002A1476">
        <w:rPr>
          <w:bCs/>
          <w:color w:val="000000" w:themeColor="text1"/>
          <w:sz w:val="22"/>
          <w:szCs w:val="22"/>
        </w:rPr>
        <w:t xml:space="preserve"> in 20</w:t>
      </w:r>
      <w:r>
        <w:rPr>
          <w:bCs/>
          <w:color w:val="000000" w:themeColor="text1"/>
          <w:sz w:val="22"/>
          <w:szCs w:val="22"/>
        </w:rPr>
        <w:t>21</w:t>
      </w:r>
      <w:r w:rsidRPr="002A1476">
        <w:rPr>
          <w:bCs/>
          <w:color w:val="000000" w:themeColor="text1"/>
          <w:sz w:val="22"/>
          <w:szCs w:val="22"/>
        </w:rPr>
        <w:t>, projected to reach $</w:t>
      </w:r>
      <w:r>
        <w:rPr>
          <w:bCs/>
          <w:color w:val="000000" w:themeColor="text1"/>
          <w:sz w:val="22"/>
          <w:szCs w:val="22"/>
        </w:rPr>
        <w:t>10</w:t>
      </w:r>
      <w:r w:rsidRPr="002A1476">
        <w:rPr>
          <w:bCs/>
          <w:color w:val="000000" w:themeColor="text1"/>
          <w:sz w:val="22"/>
          <w:szCs w:val="22"/>
        </w:rPr>
        <w:t xml:space="preserve"> billion by 202</w:t>
      </w:r>
      <w:r>
        <w:rPr>
          <w:bCs/>
          <w:color w:val="000000" w:themeColor="text1"/>
          <w:sz w:val="22"/>
          <w:szCs w:val="22"/>
        </w:rPr>
        <w:t>8</w:t>
      </w:r>
      <w:r w:rsidRPr="002A1476">
        <w:rPr>
          <w:bCs/>
          <w:color w:val="000000" w:themeColor="text1"/>
          <w:sz w:val="22"/>
          <w:szCs w:val="22"/>
        </w:rPr>
        <w:t>, which is a CAGR of 3</w:t>
      </w:r>
      <w:r>
        <w:rPr>
          <w:bCs/>
          <w:color w:val="000000" w:themeColor="text1"/>
          <w:sz w:val="22"/>
          <w:szCs w:val="22"/>
        </w:rPr>
        <w:t>0</w:t>
      </w:r>
      <w:r w:rsidRPr="002A1476">
        <w:rPr>
          <w:bCs/>
          <w:color w:val="000000" w:themeColor="text1"/>
          <w:sz w:val="22"/>
          <w:szCs w:val="22"/>
        </w:rPr>
        <w:t>%.</w:t>
      </w:r>
      <w:r w:rsidRPr="002A1476">
        <w:rPr>
          <w:bCs/>
          <w:color w:val="000000" w:themeColor="text1"/>
          <w:sz w:val="22"/>
          <w:szCs w:val="22"/>
          <w:vertAlign w:val="superscript"/>
        </w:rPr>
        <w:footnoteReference w:id="5"/>
      </w:r>
    </w:p>
    <w:p w14:paraId="0F7FD392" w14:textId="77777777" w:rsidR="00363CED" w:rsidRPr="002A1476" w:rsidRDefault="00363CED" w:rsidP="00363CED">
      <w:pPr>
        <w:pStyle w:val="NormalWeb"/>
        <w:ind w:firstLine="720"/>
        <w:jc w:val="both"/>
        <w:rPr>
          <w:b/>
          <w:color w:val="000000" w:themeColor="text1"/>
          <w:sz w:val="22"/>
          <w:szCs w:val="22"/>
        </w:rPr>
      </w:pPr>
      <w:r w:rsidRPr="002A1476">
        <w:rPr>
          <w:b/>
          <w:color w:val="000000" w:themeColor="text1"/>
          <w:sz w:val="22"/>
          <w:szCs w:val="22"/>
        </w:rPr>
        <w:t>AI Model Deployment and Integration</w:t>
      </w:r>
    </w:p>
    <w:p w14:paraId="35E44D33" w14:textId="77777777" w:rsidR="00363CED" w:rsidRPr="002A1476" w:rsidRDefault="00363CED" w:rsidP="00363CED">
      <w:pPr>
        <w:pStyle w:val="NormalWeb"/>
        <w:ind w:firstLine="720"/>
        <w:jc w:val="both"/>
        <w:rPr>
          <w:bCs/>
          <w:color w:val="000000" w:themeColor="text1"/>
          <w:sz w:val="22"/>
          <w:szCs w:val="22"/>
        </w:rPr>
      </w:pPr>
      <w:r w:rsidRPr="002A1476">
        <w:rPr>
          <w:bCs/>
          <w:color w:val="000000" w:themeColor="text1"/>
          <w:sz w:val="22"/>
          <w:szCs w:val="22"/>
        </w:rPr>
        <w:t xml:space="preserve">We believe that over the next decade, almost all industries will be fundamentally reinvented through the advent of high-performing AI models. We help businesses leverage the latest AI technologies to achieve their goals. We develop custom AI models (where we select the appropriate algorithms, tune hyperparameters, train and validate the models, and update the models as required). We also help businesses fine-tune their own custom versions of our proprietary models and third-party foundation models </w:t>
      </w:r>
      <w:r>
        <w:rPr>
          <w:bCs/>
          <w:color w:val="000000" w:themeColor="text1"/>
          <w:sz w:val="22"/>
          <w:szCs w:val="22"/>
        </w:rPr>
        <w:t xml:space="preserve">(including LLMs) </w:t>
      </w:r>
      <w:r w:rsidRPr="002A1476">
        <w:rPr>
          <w:bCs/>
          <w:color w:val="000000" w:themeColor="text1"/>
          <w:sz w:val="22"/>
          <w:szCs w:val="22"/>
        </w:rPr>
        <w:t>to address domain-specific and customer-specific use cases.</w:t>
      </w:r>
    </w:p>
    <w:p w14:paraId="12726A1B" w14:textId="77777777" w:rsidR="00363CED" w:rsidRPr="002A1476" w:rsidRDefault="00363CED" w:rsidP="00363CED">
      <w:pPr>
        <w:pStyle w:val="NormalWeb"/>
        <w:ind w:firstLine="720"/>
        <w:jc w:val="both"/>
        <w:rPr>
          <w:bCs/>
          <w:color w:val="000000" w:themeColor="text1"/>
          <w:sz w:val="22"/>
          <w:szCs w:val="22"/>
        </w:rPr>
      </w:pPr>
      <w:r w:rsidRPr="002A1476">
        <w:rPr>
          <w:bCs/>
          <w:color w:val="000000" w:themeColor="text1"/>
          <w:sz w:val="22"/>
          <w:szCs w:val="22"/>
        </w:rPr>
        <w:t xml:space="preserve">The current pace of AI innovation is accelerating. The algorithms and techniques used today will likely be obsolete in the next several years. Therefore, </w:t>
      </w:r>
      <w:r>
        <w:rPr>
          <w:bCs/>
          <w:color w:val="000000" w:themeColor="text1"/>
          <w:sz w:val="22"/>
          <w:szCs w:val="22"/>
        </w:rPr>
        <w:t xml:space="preserve">we have built </w:t>
      </w:r>
      <w:r w:rsidRPr="002A1476">
        <w:rPr>
          <w:bCs/>
          <w:color w:val="000000" w:themeColor="text1"/>
          <w:sz w:val="22"/>
          <w:szCs w:val="22"/>
        </w:rPr>
        <w:t xml:space="preserve">our solutions and platforms </w:t>
      </w:r>
      <w:r>
        <w:rPr>
          <w:bCs/>
          <w:color w:val="000000" w:themeColor="text1"/>
          <w:sz w:val="22"/>
          <w:szCs w:val="22"/>
        </w:rPr>
        <w:t xml:space="preserve">in such a way as to </w:t>
      </w:r>
      <w:r w:rsidRPr="002A1476">
        <w:rPr>
          <w:bCs/>
          <w:color w:val="000000" w:themeColor="text1"/>
          <w:sz w:val="22"/>
          <w:szCs w:val="22"/>
        </w:rPr>
        <w:t>enable us to incorporate new open source or proprietary software innovations.</w:t>
      </w:r>
    </w:p>
    <w:p w14:paraId="4A5D59B6" w14:textId="3DF4FC7C" w:rsidR="00363CED" w:rsidRPr="002A1476" w:rsidRDefault="00363CED" w:rsidP="00363CED">
      <w:pPr>
        <w:pStyle w:val="NormalWeb"/>
        <w:ind w:firstLine="720"/>
        <w:jc w:val="both"/>
        <w:rPr>
          <w:bCs/>
          <w:color w:val="000000" w:themeColor="text1"/>
          <w:sz w:val="22"/>
          <w:szCs w:val="22"/>
        </w:rPr>
      </w:pPr>
      <w:r w:rsidRPr="002A1476">
        <w:rPr>
          <w:bCs/>
          <w:color w:val="000000" w:themeColor="text1"/>
          <w:sz w:val="22"/>
          <w:szCs w:val="22"/>
        </w:rPr>
        <w:t xml:space="preserve">Many of </w:t>
      </w:r>
      <w:r w:rsidR="00AC4E0D">
        <w:rPr>
          <w:bCs/>
          <w:color w:val="000000" w:themeColor="text1"/>
          <w:sz w:val="22"/>
          <w:szCs w:val="22"/>
        </w:rPr>
        <w:t xml:space="preserve">our </w:t>
      </w:r>
      <w:r w:rsidRPr="002A1476">
        <w:rPr>
          <w:bCs/>
          <w:color w:val="000000" w:themeColor="text1"/>
          <w:sz w:val="22"/>
          <w:szCs w:val="22"/>
        </w:rPr>
        <w:t>customers provide products and solutions that require intensive text data processing and analytics. For these customers, in addition to deploying and integrating AI models, we often provide a range of data engineering support services</w:t>
      </w:r>
      <w:r>
        <w:rPr>
          <w:bCs/>
          <w:color w:val="000000" w:themeColor="text1"/>
          <w:sz w:val="22"/>
          <w:szCs w:val="22"/>
        </w:rPr>
        <w:t xml:space="preserve"> </w:t>
      </w:r>
      <w:r w:rsidRPr="002A1476">
        <w:rPr>
          <w:bCs/>
          <w:color w:val="000000" w:themeColor="text1"/>
          <w:sz w:val="22"/>
          <w:szCs w:val="22"/>
        </w:rPr>
        <w:t xml:space="preserve">including data transformation, data curation, data hygiene, data consolidation, data extraction, data compliance, and master data management. For many of our longest-tenured customers, we </w:t>
      </w:r>
      <w:r>
        <w:rPr>
          <w:bCs/>
          <w:color w:val="000000" w:themeColor="text1"/>
          <w:sz w:val="22"/>
          <w:szCs w:val="22"/>
        </w:rPr>
        <w:t>continuously innovate and deploy</w:t>
      </w:r>
      <w:r w:rsidRPr="002A1476">
        <w:rPr>
          <w:bCs/>
          <w:color w:val="000000" w:themeColor="text1"/>
          <w:sz w:val="22"/>
          <w:szCs w:val="22"/>
        </w:rPr>
        <w:t xml:space="preserve"> models into their workflows and digital operations.</w:t>
      </w:r>
    </w:p>
    <w:p w14:paraId="7A477507" w14:textId="77777777" w:rsidR="00363CED" w:rsidRPr="002A1476" w:rsidRDefault="00363CED" w:rsidP="00363CED">
      <w:pPr>
        <w:pStyle w:val="NormalWeb"/>
        <w:ind w:firstLine="720"/>
        <w:jc w:val="both"/>
        <w:rPr>
          <w:bCs/>
          <w:color w:val="000000" w:themeColor="text1"/>
          <w:sz w:val="22"/>
          <w:szCs w:val="22"/>
        </w:rPr>
      </w:pPr>
      <w:r w:rsidRPr="002A1476">
        <w:rPr>
          <w:bCs/>
          <w:color w:val="000000" w:themeColor="text1"/>
          <w:sz w:val="22"/>
          <w:szCs w:val="22"/>
        </w:rPr>
        <w:t>Our customers span a diverse range of industries and a wide range of AI use cases, benefiting from the short time-to-value and high economic returns our AI solutions and platforms offer.</w:t>
      </w:r>
    </w:p>
    <w:p w14:paraId="22618C8C" w14:textId="77777777" w:rsidR="00363CED" w:rsidRPr="002A1476" w:rsidRDefault="00363CED" w:rsidP="00363CED">
      <w:pPr>
        <w:pStyle w:val="NormalWeb"/>
        <w:ind w:firstLine="720"/>
        <w:jc w:val="both"/>
        <w:rPr>
          <w:color w:val="000000" w:themeColor="text1"/>
          <w:sz w:val="22"/>
          <w:szCs w:val="22"/>
        </w:rPr>
      </w:pPr>
      <w:r w:rsidRPr="002A1476">
        <w:rPr>
          <w:color w:val="000000" w:themeColor="text1"/>
          <w:sz w:val="22"/>
          <w:szCs w:val="22"/>
        </w:rPr>
        <w:lastRenderedPageBreak/>
        <w:t>The document analytics market - a subset of the overall AI market - is expected to grow at a CAGR of 4</w:t>
      </w:r>
      <w:r>
        <w:rPr>
          <w:color w:val="000000" w:themeColor="text1"/>
          <w:sz w:val="22"/>
          <w:szCs w:val="22"/>
        </w:rPr>
        <w:t>9.6</w:t>
      </w:r>
      <w:r w:rsidRPr="002A1476">
        <w:rPr>
          <w:color w:val="000000" w:themeColor="text1"/>
          <w:sz w:val="22"/>
          <w:szCs w:val="22"/>
        </w:rPr>
        <w:t xml:space="preserve">% from </w:t>
      </w:r>
      <w:r>
        <w:rPr>
          <w:color w:val="000000" w:themeColor="text1"/>
          <w:sz w:val="22"/>
          <w:szCs w:val="22"/>
        </w:rPr>
        <w:t>$1.1 billion in 2021 to $8.15 billion by 2026</w:t>
      </w:r>
      <w:r w:rsidRPr="002A1476">
        <w:rPr>
          <w:color w:val="000000" w:themeColor="text1"/>
          <w:sz w:val="22"/>
          <w:szCs w:val="22"/>
        </w:rPr>
        <w:t>.</w:t>
      </w:r>
      <w:r w:rsidRPr="002A1476">
        <w:rPr>
          <w:rStyle w:val="FootnoteReference"/>
          <w:color w:val="000000" w:themeColor="text1"/>
          <w:sz w:val="22"/>
          <w:szCs w:val="22"/>
        </w:rPr>
        <w:footnoteReference w:id="6"/>
      </w:r>
      <w:r w:rsidRPr="002A1476">
        <w:rPr>
          <w:color w:val="000000" w:themeColor="text1"/>
          <w:sz w:val="22"/>
          <w:szCs w:val="22"/>
        </w:rPr>
        <w:t xml:space="preserve"> </w:t>
      </w:r>
      <w:r w:rsidRPr="002A1476">
        <w:rPr>
          <w:bCs/>
          <w:color w:val="000000" w:themeColor="text1"/>
          <w:sz w:val="22"/>
          <w:szCs w:val="22"/>
        </w:rPr>
        <w:t>Meanwhile, overall enterprise AI spend is projected to reach $</w:t>
      </w:r>
      <w:r>
        <w:rPr>
          <w:bCs/>
          <w:color w:val="000000" w:themeColor="text1"/>
          <w:sz w:val="22"/>
          <w:szCs w:val="22"/>
        </w:rPr>
        <w:t>102.9</w:t>
      </w:r>
      <w:r w:rsidRPr="002A1476">
        <w:rPr>
          <w:bCs/>
          <w:color w:val="000000" w:themeColor="text1"/>
          <w:sz w:val="22"/>
          <w:szCs w:val="22"/>
        </w:rPr>
        <w:t xml:space="preserve"> billion by 20</w:t>
      </w:r>
      <w:r>
        <w:rPr>
          <w:bCs/>
          <w:color w:val="000000" w:themeColor="text1"/>
          <w:sz w:val="22"/>
          <w:szCs w:val="22"/>
        </w:rPr>
        <w:t>30</w:t>
      </w:r>
      <w:r w:rsidRPr="002A1476">
        <w:rPr>
          <w:bCs/>
          <w:color w:val="000000" w:themeColor="text1"/>
          <w:sz w:val="22"/>
          <w:szCs w:val="22"/>
        </w:rPr>
        <w:t xml:space="preserve">, </w:t>
      </w:r>
      <w:r>
        <w:rPr>
          <w:bCs/>
          <w:color w:val="000000" w:themeColor="text1"/>
          <w:sz w:val="22"/>
          <w:szCs w:val="22"/>
        </w:rPr>
        <w:t xml:space="preserve">up from $16.8 billion in 2021, </w:t>
      </w:r>
      <w:r w:rsidRPr="002A1476">
        <w:rPr>
          <w:bCs/>
          <w:color w:val="000000" w:themeColor="text1"/>
          <w:sz w:val="22"/>
          <w:szCs w:val="22"/>
        </w:rPr>
        <w:t xml:space="preserve">registering a CAGR of </w:t>
      </w:r>
      <w:r>
        <w:rPr>
          <w:bCs/>
          <w:color w:val="000000" w:themeColor="text1"/>
          <w:sz w:val="22"/>
          <w:szCs w:val="22"/>
        </w:rPr>
        <w:t>47.2</w:t>
      </w:r>
      <w:r w:rsidRPr="002A1476">
        <w:rPr>
          <w:bCs/>
          <w:color w:val="000000" w:themeColor="text1"/>
          <w:sz w:val="22"/>
          <w:szCs w:val="22"/>
        </w:rPr>
        <w:t>%.</w:t>
      </w:r>
      <w:r w:rsidRPr="002A1476">
        <w:rPr>
          <w:rStyle w:val="FootnoteReference"/>
          <w:bCs/>
          <w:color w:val="000000" w:themeColor="text1"/>
          <w:sz w:val="22"/>
          <w:szCs w:val="22"/>
        </w:rPr>
        <w:footnoteReference w:id="7"/>
      </w:r>
    </w:p>
    <w:p w14:paraId="1359AC35" w14:textId="77777777" w:rsidR="00363CED" w:rsidRPr="002A1476" w:rsidRDefault="00363CED" w:rsidP="00363CED">
      <w:pPr>
        <w:pStyle w:val="NormalWeb"/>
        <w:ind w:firstLine="720"/>
        <w:jc w:val="both"/>
        <w:rPr>
          <w:b/>
          <w:bCs/>
          <w:color w:val="000000" w:themeColor="text1"/>
          <w:sz w:val="22"/>
          <w:szCs w:val="22"/>
        </w:rPr>
      </w:pPr>
      <w:r w:rsidRPr="002A1476">
        <w:rPr>
          <w:b/>
          <w:bCs/>
          <w:color w:val="000000" w:themeColor="text1"/>
          <w:sz w:val="22"/>
          <w:szCs w:val="22"/>
        </w:rPr>
        <w:t>AI-Enabled Industry Platforms</w:t>
      </w:r>
    </w:p>
    <w:p w14:paraId="72301C75" w14:textId="77777777" w:rsidR="00363CED" w:rsidRPr="002A1476" w:rsidRDefault="00363CED" w:rsidP="00363CED">
      <w:pPr>
        <w:ind w:firstLine="720"/>
        <w:jc w:val="both"/>
        <w:rPr>
          <w:bCs/>
          <w:color w:val="000000" w:themeColor="text1"/>
          <w:sz w:val="22"/>
          <w:szCs w:val="22"/>
        </w:rPr>
      </w:pPr>
      <w:r w:rsidRPr="002A1476">
        <w:rPr>
          <w:bCs/>
          <w:color w:val="000000" w:themeColor="text1"/>
          <w:sz w:val="22"/>
          <w:szCs w:val="22"/>
        </w:rPr>
        <w:t xml:space="preserve">Our AI-enabled industry platforms address specific, niche market requirements that we believe we can </w:t>
      </w:r>
      <w:r>
        <w:rPr>
          <w:bCs/>
          <w:color w:val="000000" w:themeColor="text1"/>
          <w:sz w:val="22"/>
          <w:szCs w:val="22"/>
        </w:rPr>
        <w:t>innovate</w:t>
      </w:r>
      <w:r w:rsidRPr="002A1476">
        <w:rPr>
          <w:bCs/>
          <w:color w:val="000000" w:themeColor="text1"/>
          <w:sz w:val="22"/>
          <w:szCs w:val="22"/>
        </w:rPr>
        <w:t xml:space="preserve"> with AI/ML technologies. We deploy these industry platforms as </w:t>
      </w:r>
      <w:r w:rsidRPr="002A1476">
        <w:rPr>
          <w:color w:val="000000" w:themeColor="text1"/>
          <w:sz w:val="22"/>
          <w:szCs w:val="22"/>
        </w:rPr>
        <w:t xml:space="preserve">software-as-a-service (SaaS) and as managed services. These platforms benefit from our technology infrastructure, our industry-specific knowledge, our strong customer relationships and experience merging technology with the business processes of our customers. </w:t>
      </w:r>
      <w:r w:rsidRPr="002A1476">
        <w:rPr>
          <w:bCs/>
          <w:color w:val="000000" w:themeColor="text1"/>
          <w:sz w:val="22"/>
          <w:szCs w:val="22"/>
        </w:rPr>
        <w:t>To date, we have built an industry platform for medical records data extraction and transformation (which we brand as “Synodex</w:t>
      </w:r>
      <w:r w:rsidRPr="002A1476">
        <w:rPr>
          <w:bCs/>
          <w:color w:val="000000" w:themeColor="text1"/>
          <w:sz w:val="22"/>
          <w:szCs w:val="22"/>
          <w:u w:val="single"/>
          <w:vertAlign w:val="superscript"/>
        </w:rPr>
        <w:t>®</w:t>
      </w:r>
      <w:r w:rsidRPr="002A1476">
        <w:rPr>
          <w:bCs/>
          <w:color w:val="000000" w:themeColor="text1"/>
          <w:sz w:val="22"/>
          <w:szCs w:val="22"/>
        </w:rPr>
        <w:t>”) and an industry platform for public relations (which we brand as “Agility PR Solutions”). We are in development with an additional AI-enabled industry platform to serve financial services institutions.</w:t>
      </w:r>
    </w:p>
    <w:p w14:paraId="3AC09EFA" w14:textId="77777777" w:rsidR="00363CED" w:rsidRPr="002A1476" w:rsidRDefault="00363CED" w:rsidP="00363CED">
      <w:pPr>
        <w:pStyle w:val="NormalWeb"/>
        <w:ind w:firstLine="720"/>
        <w:jc w:val="both"/>
        <w:rPr>
          <w:color w:val="000000" w:themeColor="text1"/>
          <w:sz w:val="22"/>
          <w:szCs w:val="22"/>
        </w:rPr>
      </w:pPr>
      <w:r w:rsidRPr="002A1476">
        <w:rPr>
          <w:color w:val="000000" w:themeColor="text1"/>
          <w:sz w:val="22"/>
          <w:szCs w:val="22"/>
        </w:rPr>
        <w:t xml:space="preserve">Our Synodex industry platform transforms medical records into useable digital data organized in accordance with our proprietary data models or customer data models. At the end of 2022, we had 18 customers utilizing our Synodex platform, including John Hancock Insurance, the insurance operating unit of John Hancock Financial (a division of Manulife) and one of the largest life insurers in the United States. </w:t>
      </w:r>
      <w:r w:rsidRPr="002A1476">
        <w:rPr>
          <w:bCs/>
          <w:color w:val="000000" w:themeColor="text1"/>
          <w:sz w:val="22"/>
          <w:szCs w:val="22"/>
        </w:rPr>
        <w:t xml:space="preserve">As we further integrate AI into the platform, we aim to address the needs of the </w:t>
      </w:r>
      <w:r w:rsidRPr="002A1476">
        <w:rPr>
          <w:color w:val="000000" w:themeColor="text1"/>
          <w:sz w:val="22"/>
          <w:szCs w:val="22"/>
        </w:rPr>
        <w:t>healthcare sector, which is increasingly seeking to search, analyze, and interpret vast volumes of patient data, improve clinical documentation and make computer-assisted coding more efficient. The global artificial intelligence (AI) in healthcare market is forecast to reach a market size of $</w:t>
      </w:r>
      <w:r>
        <w:rPr>
          <w:color w:val="000000" w:themeColor="text1"/>
          <w:sz w:val="22"/>
          <w:szCs w:val="22"/>
        </w:rPr>
        <w:t>102.7</w:t>
      </w:r>
      <w:r w:rsidRPr="002A1476">
        <w:rPr>
          <w:color w:val="000000" w:themeColor="text1"/>
          <w:sz w:val="22"/>
          <w:szCs w:val="22"/>
        </w:rPr>
        <w:t xml:space="preserve"> billion by 202</w:t>
      </w:r>
      <w:r>
        <w:rPr>
          <w:color w:val="000000" w:themeColor="text1"/>
          <w:sz w:val="22"/>
          <w:szCs w:val="22"/>
        </w:rPr>
        <w:t>8</w:t>
      </w:r>
      <w:r w:rsidRPr="002A1476">
        <w:rPr>
          <w:color w:val="000000" w:themeColor="text1"/>
          <w:sz w:val="22"/>
          <w:szCs w:val="22"/>
        </w:rPr>
        <w:t>, up from $</w:t>
      </w:r>
      <w:r>
        <w:rPr>
          <w:color w:val="000000" w:themeColor="text1"/>
          <w:sz w:val="22"/>
          <w:szCs w:val="22"/>
        </w:rPr>
        <w:t>14.6</w:t>
      </w:r>
      <w:r w:rsidRPr="002A1476">
        <w:rPr>
          <w:color w:val="000000" w:themeColor="text1"/>
          <w:sz w:val="22"/>
          <w:szCs w:val="22"/>
        </w:rPr>
        <w:t xml:space="preserve"> billion in 202</w:t>
      </w:r>
      <w:r>
        <w:rPr>
          <w:color w:val="000000" w:themeColor="text1"/>
          <w:sz w:val="22"/>
          <w:szCs w:val="22"/>
        </w:rPr>
        <w:t>3</w:t>
      </w:r>
      <w:r w:rsidRPr="002A1476">
        <w:rPr>
          <w:color w:val="000000" w:themeColor="text1"/>
          <w:sz w:val="22"/>
          <w:szCs w:val="22"/>
        </w:rPr>
        <w:t>, with a CAGR of 4</w:t>
      </w:r>
      <w:r>
        <w:rPr>
          <w:color w:val="000000" w:themeColor="text1"/>
          <w:sz w:val="22"/>
          <w:szCs w:val="22"/>
        </w:rPr>
        <w:t>7.6</w:t>
      </w:r>
      <w:r w:rsidRPr="002A1476">
        <w:rPr>
          <w:color w:val="000000" w:themeColor="text1"/>
          <w:sz w:val="22"/>
          <w:szCs w:val="22"/>
        </w:rPr>
        <w:t>%.</w:t>
      </w:r>
      <w:r w:rsidRPr="002A1476">
        <w:rPr>
          <w:rStyle w:val="FootnoteReference"/>
          <w:color w:val="000000" w:themeColor="text1"/>
          <w:sz w:val="22"/>
          <w:szCs w:val="22"/>
        </w:rPr>
        <w:footnoteReference w:id="8"/>
      </w:r>
    </w:p>
    <w:p w14:paraId="0A9FBB02" w14:textId="04323208" w:rsidR="00363CED" w:rsidRPr="002A1476" w:rsidRDefault="00363CED" w:rsidP="00363CED">
      <w:pPr>
        <w:pStyle w:val="NormalWeb"/>
        <w:spacing w:before="0" w:beforeAutospacing="0" w:after="0" w:afterAutospacing="0"/>
        <w:ind w:firstLine="720"/>
        <w:jc w:val="both"/>
        <w:rPr>
          <w:bCs/>
          <w:color w:val="000000" w:themeColor="text1"/>
          <w:sz w:val="22"/>
          <w:szCs w:val="22"/>
        </w:rPr>
      </w:pPr>
      <w:r w:rsidRPr="002A1476">
        <w:rPr>
          <w:color w:val="000000" w:themeColor="text1"/>
          <w:sz w:val="22"/>
          <w:szCs w:val="22"/>
        </w:rPr>
        <w:t>Our Agility industry platform provides marketing communications and public relations professionals with the ability to target and distribute content to journalists and social media influencers world-wide and to monitor and analyze global news</w:t>
      </w:r>
      <w:r w:rsidRPr="002A1476">
        <w:rPr>
          <w:rStyle w:val="CommentReference"/>
          <w:color w:val="000000" w:themeColor="text1"/>
          <w:sz w:val="22"/>
          <w:szCs w:val="22"/>
        </w:rPr>
        <w:t xml:space="preserve"> </w:t>
      </w:r>
      <w:r w:rsidRPr="002A1476">
        <w:rPr>
          <w:color w:val="000000" w:themeColor="text1"/>
          <w:sz w:val="22"/>
          <w:szCs w:val="22"/>
        </w:rPr>
        <w:t xml:space="preserve">(print, web, radio and TV) and social media. </w:t>
      </w:r>
      <w:r w:rsidRPr="002A1476">
        <w:rPr>
          <w:bCs/>
          <w:color w:val="000000" w:themeColor="text1"/>
          <w:sz w:val="22"/>
          <w:szCs w:val="22"/>
        </w:rPr>
        <w:t>Agility is now ranked by software review site G2 Crowd as meeting the requirements of customers better than its two largest competitors that have combined revenues of over $1 billion.</w:t>
      </w:r>
      <w:r w:rsidRPr="002A1476">
        <w:rPr>
          <w:rStyle w:val="FootnoteReference"/>
          <w:bCs/>
          <w:color w:val="000000" w:themeColor="text1"/>
          <w:sz w:val="22"/>
          <w:szCs w:val="22"/>
        </w:rPr>
        <w:footnoteReference w:id="9"/>
      </w:r>
      <w:r w:rsidRPr="002A1476">
        <w:rPr>
          <w:bCs/>
          <w:color w:val="000000" w:themeColor="text1"/>
          <w:sz w:val="22"/>
          <w:szCs w:val="22"/>
        </w:rPr>
        <w:t xml:space="preserve"> Agility operates in the $</w:t>
      </w:r>
      <w:r>
        <w:rPr>
          <w:bCs/>
          <w:color w:val="000000" w:themeColor="text1"/>
          <w:sz w:val="22"/>
          <w:szCs w:val="22"/>
        </w:rPr>
        <w:t xml:space="preserve">5.5 </w:t>
      </w:r>
      <w:r w:rsidRPr="002A1476">
        <w:rPr>
          <w:bCs/>
          <w:color w:val="000000" w:themeColor="text1"/>
          <w:sz w:val="22"/>
          <w:szCs w:val="22"/>
        </w:rPr>
        <w:t>billion media intelligence solutions market.</w:t>
      </w:r>
      <w:r w:rsidRPr="002A1476">
        <w:rPr>
          <w:rStyle w:val="FootnoteReference"/>
          <w:bCs/>
          <w:color w:val="000000" w:themeColor="text1"/>
          <w:sz w:val="22"/>
          <w:szCs w:val="22"/>
        </w:rPr>
        <w:footnoteReference w:id="10"/>
      </w:r>
    </w:p>
    <w:p w14:paraId="2CD5FB91" w14:textId="77777777" w:rsidR="00363CED" w:rsidRPr="002A1476" w:rsidRDefault="00363CED" w:rsidP="00363CED">
      <w:pPr>
        <w:pStyle w:val="NormalWeb"/>
        <w:spacing w:before="0" w:beforeAutospacing="0" w:after="0" w:afterAutospacing="0"/>
        <w:ind w:firstLine="720"/>
        <w:jc w:val="both"/>
        <w:rPr>
          <w:color w:val="000000" w:themeColor="text1"/>
          <w:sz w:val="22"/>
          <w:szCs w:val="22"/>
        </w:rPr>
      </w:pPr>
    </w:p>
    <w:p w14:paraId="2820BA3A" w14:textId="77777777" w:rsidR="00363CED" w:rsidRPr="002A1476" w:rsidRDefault="00363CED" w:rsidP="00363CED">
      <w:pPr>
        <w:pStyle w:val="NormalWeb"/>
        <w:spacing w:before="0" w:beforeAutospacing="0" w:after="0" w:afterAutospacing="0"/>
        <w:ind w:firstLine="720"/>
        <w:jc w:val="both"/>
        <w:rPr>
          <w:color w:val="000000" w:themeColor="text1"/>
          <w:sz w:val="22"/>
          <w:szCs w:val="22"/>
        </w:rPr>
      </w:pPr>
      <w:r w:rsidRPr="002A1476">
        <w:rPr>
          <w:color w:val="000000" w:themeColor="text1"/>
          <w:sz w:val="22"/>
          <w:szCs w:val="22"/>
        </w:rPr>
        <w:t>The Company’s operations are presently classified and reported in three reporting segments: Digital Data Solutions (DDS), Synodex and Agility.</w:t>
      </w:r>
    </w:p>
    <w:p w14:paraId="0A9500AA"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11473913" w14:textId="77777777" w:rsidR="00363CED" w:rsidRPr="002A1476" w:rsidRDefault="00363CED" w:rsidP="00363CED">
      <w:pPr>
        <w:pStyle w:val="NormalWeb"/>
        <w:spacing w:before="0" w:beforeAutospacing="0" w:after="0" w:afterAutospacing="0"/>
        <w:jc w:val="both"/>
        <w:rPr>
          <w:b/>
          <w:color w:val="000000" w:themeColor="text1"/>
          <w:sz w:val="22"/>
          <w:szCs w:val="22"/>
        </w:rPr>
      </w:pPr>
      <w:r w:rsidRPr="002A1476">
        <w:rPr>
          <w:b/>
          <w:color w:val="000000" w:themeColor="text1"/>
          <w:sz w:val="22"/>
          <w:szCs w:val="22"/>
        </w:rPr>
        <w:t>Competitive Strengths</w:t>
      </w:r>
    </w:p>
    <w:p w14:paraId="74655408" w14:textId="77777777" w:rsidR="00363CED" w:rsidRPr="002A1476" w:rsidRDefault="00363CED" w:rsidP="00363CED">
      <w:pPr>
        <w:pStyle w:val="NormalWeb"/>
        <w:spacing w:before="0" w:beforeAutospacing="0" w:after="0" w:afterAutospacing="0"/>
        <w:jc w:val="both"/>
        <w:rPr>
          <w:b/>
          <w:color w:val="000000" w:themeColor="text1"/>
          <w:sz w:val="22"/>
          <w:szCs w:val="22"/>
        </w:rPr>
      </w:pPr>
    </w:p>
    <w:p w14:paraId="6E55B7B5" w14:textId="77777777" w:rsidR="00363CED" w:rsidRPr="002A1476" w:rsidRDefault="00363CED" w:rsidP="00363CED">
      <w:pPr>
        <w:ind w:firstLine="720"/>
        <w:jc w:val="both"/>
        <w:rPr>
          <w:i/>
          <w:iCs/>
          <w:color w:val="000000" w:themeColor="text1"/>
          <w:sz w:val="22"/>
          <w:szCs w:val="22"/>
        </w:rPr>
      </w:pPr>
      <w:r w:rsidRPr="002A1476">
        <w:rPr>
          <w:i/>
          <w:iCs/>
          <w:color w:val="000000" w:themeColor="text1"/>
          <w:sz w:val="22"/>
          <w:szCs w:val="22"/>
        </w:rPr>
        <w:t>Our Data Quality</w:t>
      </w:r>
    </w:p>
    <w:p w14:paraId="69757DE2" w14:textId="77777777" w:rsidR="00363CED" w:rsidRPr="002A1476" w:rsidRDefault="00363CED" w:rsidP="00363CED">
      <w:pPr>
        <w:ind w:firstLine="720"/>
        <w:jc w:val="both"/>
        <w:rPr>
          <w:color w:val="000000" w:themeColor="text1"/>
          <w:sz w:val="22"/>
          <w:szCs w:val="22"/>
        </w:rPr>
      </w:pPr>
    </w:p>
    <w:p w14:paraId="5B6B2CEE"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We believe we achieve industry-leading data quality by leveraging our technology, our large staff of human experts, and the culture we have cultivated over many years of providing high-quality data to the most demanding customers.</w:t>
      </w:r>
    </w:p>
    <w:p w14:paraId="39A77A88" w14:textId="77777777" w:rsidR="00363CED" w:rsidRPr="002A1476" w:rsidRDefault="00363CED" w:rsidP="00363CED">
      <w:pPr>
        <w:ind w:firstLine="720"/>
        <w:jc w:val="both"/>
        <w:rPr>
          <w:color w:val="000000" w:themeColor="text1"/>
          <w:sz w:val="22"/>
          <w:szCs w:val="22"/>
        </w:rPr>
      </w:pPr>
    </w:p>
    <w:p w14:paraId="6914859A"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 xml:space="preserve">For the past seven years, we have been designing and refining our approach for combining human experts and AI to produce large-scale, highly accurate data. In our approach, AI networks automatically perform much of the required processing and human experts perform processing that the AI cannot perform at a high level of confidence. The human output is fed back into the AI networks, which, as a result, “learn” and become “smarter” over time, achieving progressively greater levels of automation while maintaining the highest levels of quality. </w:t>
      </w:r>
      <w:r w:rsidRPr="00266A39">
        <w:rPr>
          <w:color w:val="000000" w:themeColor="text1"/>
          <w:sz w:val="22"/>
          <w:szCs w:val="22"/>
        </w:rPr>
        <w:t>(</w:t>
      </w:r>
      <w:r w:rsidRPr="00266A39">
        <w:rPr>
          <w:i/>
          <w:iCs/>
          <w:color w:val="000000" w:themeColor="text1"/>
          <w:sz w:val="22"/>
          <w:szCs w:val="22"/>
        </w:rPr>
        <w:t>See “Our Technology”, below.</w:t>
      </w:r>
      <w:r w:rsidRPr="00266A39">
        <w:rPr>
          <w:color w:val="000000" w:themeColor="text1"/>
          <w:sz w:val="22"/>
          <w:szCs w:val="22"/>
        </w:rPr>
        <w:t>)</w:t>
      </w:r>
    </w:p>
    <w:p w14:paraId="535648C0" w14:textId="77777777" w:rsidR="00363CED" w:rsidRPr="002A1476" w:rsidRDefault="00363CED" w:rsidP="00363CED">
      <w:pPr>
        <w:ind w:firstLine="720"/>
        <w:jc w:val="both"/>
        <w:rPr>
          <w:color w:val="000000" w:themeColor="text1"/>
          <w:sz w:val="22"/>
          <w:szCs w:val="22"/>
        </w:rPr>
      </w:pPr>
    </w:p>
    <w:p w14:paraId="3031C57E"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 xml:space="preserve">Our </w:t>
      </w:r>
      <w:r>
        <w:rPr>
          <w:color w:val="000000" w:themeColor="text1"/>
          <w:sz w:val="22"/>
          <w:szCs w:val="22"/>
        </w:rPr>
        <w:t>4,000</w:t>
      </w:r>
      <w:r w:rsidRPr="002A1476">
        <w:rPr>
          <w:color w:val="000000" w:themeColor="text1"/>
          <w:sz w:val="22"/>
          <w:szCs w:val="22"/>
        </w:rPr>
        <w:t xml:space="preserve">+ experts have deep domain knowledge in a wide diversity of data domains. They are selected on the basis of data acumen, analytical ability, and deep domain proficiency. </w:t>
      </w:r>
      <w:r w:rsidRPr="00931BBE">
        <w:rPr>
          <w:color w:val="000000" w:themeColor="text1"/>
          <w:sz w:val="22"/>
          <w:szCs w:val="22"/>
        </w:rPr>
        <w:t>(</w:t>
      </w:r>
      <w:r w:rsidRPr="00931BBE">
        <w:rPr>
          <w:i/>
          <w:iCs/>
          <w:color w:val="000000" w:themeColor="text1"/>
          <w:sz w:val="22"/>
          <w:szCs w:val="22"/>
        </w:rPr>
        <w:t xml:space="preserve">See “Our </w:t>
      </w:r>
      <w:r w:rsidRPr="00692EC1">
        <w:rPr>
          <w:i/>
          <w:iCs/>
          <w:color w:val="000000" w:themeColor="text1"/>
          <w:sz w:val="22"/>
          <w:szCs w:val="22"/>
        </w:rPr>
        <w:t>Global Delivery Framework</w:t>
      </w:r>
      <w:r w:rsidRPr="00931BBE">
        <w:rPr>
          <w:i/>
          <w:iCs/>
          <w:color w:val="000000" w:themeColor="text1"/>
          <w:sz w:val="22"/>
          <w:szCs w:val="22"/>
        </w:rPr>
        <w:t>”, below.</w:t>
      </w:r>
      <w:r w:rsidRPr="00931BBE">
        <w:rPr>
          <w:color w:val="000000" w:themeColor="text1"/>
          <w:sz w:val="22"/>
          <w:szCs w:val="22"/>
        </w:rPr>
        <w:t>)</w:t>
      </w:r>
      <w:r w:rsidRPr="002A1476">
        <w:rPr>
          <w:color w:val="000000" w:themeColor="text1"/>
          <w:sz w:val="22"/>
          <w:szCs w:val="22"/>
        </w:rPr>
        <w:t xml:space="preserve">  </w:t>
      </w:r>
    </w:p>
    <w:p w14:paraId="00724127" w14:textId="77777777" w:rsidR="00363CED" w:rsidRPr="002A1476" w:rsidRDefault="00363CED" w:rsidP="00363CED">
      <w:pPr>
        <w:ind w:firstLine="720"/>
        <w:jc w:val="both"/>
        <w:rPr>
          <w:color w:val="000000" w:themeColor="text1"/>
          <w:sz w:val="22"/>
          <w:szCs w:val="22"/>
        </w:rPr>
      </w:pPr>
    </w:p>
    <w:p w14:paraId="3A3A287F"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Our culture of quality is critical to achieving and sustaining high data quality. Our culture has been cultivated over our decades of experience performing data-related tasks for leading global companies, including the four largest global information companies with which we have 10-plus year relationships building and maintaining many of their leading data products.</w:t>
      </w:r>
    </w:p>
    <w:p w14:paraId="643053DF" w14:textId="77777777" w:rsidR="00363CED" w:rsidRPr="002A1476" w:rsidRDefault="00363CED" w:rsidP="00363CED">
      <w:pPr>
        <w:ind w:firstLine="720"/>
        <w:jc w:val="both"/>
        <w:rPr>
          <w:color w:val="000000" w:themeColor="text1"/>
          <w:sz w:val="22"/>
          <w:szCs w:val="22"/>
        </w:rPr>
      </w:pPr>
    </w:p>
    <w:p w14:paraId="2D0E7F1C" w14:textId="77777777" w:rsidR="00363CED" w:rsidRPr="002A1476" w:rsidRDefault="00363CED" w:rsidP="00363CED">
      <w:pPr>
        <w:tabs>
          <w:tab w:val="left" w:pos="720"/>
        </w:tabs>
        <w:jc w:val="both"/>
        <w:rPr>
          <w:color w:val="000000" w:themeColor="text1"/>
          <w:sz w:val="22"/>
          <w:szCs w:val="22"/>
        </w:rPr>
      </w:pPr>
      <w:r w:rsidRPr="002A1476">
        <w:rPr>
          <w:color w:val="000000" w:themeColor="text1"/>
          <w:sz w:val="22"/>
          <w:szCs w:val="22"/>
        </w:rPr>
        <w:tab/>
        <w:t>We maintain independent quality assurance centers that comply with the ISO 9001:2008 quality management system standards.</w:t>
      </w:r>
    </w:p>
    <w:p w14:paraId="202F1AA2" w14:textId="77777777" w:rsidR="00363CED" w:rsidRPr="002A1476" w:rsidRDefault="00363CED" w:rsidP="00363CED">
      <w:pPr>
        <w:jc w:val="both"/>
        <w:rPr>
          <w:color w:val="000000" w:themeColor="text1"/>
          <w:sz w:val="22"/>
          <w:szCs w:val="22"/>
        </w:rPr>
      </w:pPr>
    </w:p>
    <w:p w14:paraId="4A1D7AF0" w14:textId="77777777" w:rsidR="00363CED" w:rsidRPr="002A1476" w:rsidRDefault="00363CED" w:rsidP="00363CED">
      <w:pPr>
        <w:ind w:firstLine="720"/>
        <w:jc w:val="both"/>
        <w:rPr>
          <w:i/>
          <w:iCs/>
          <w:color w:val="000000" w:themeColor="text1"/>
          <w:sz w:val="22"/>
          <w:szCs w:val="22"/>
        </w:rPr>
      </w:pPr>
      <w:r w:rsidRPr="002A1476">
        <w:rPr>
          <w:i/>
          <w:iCs/>
          <w:color w:val="000000" w:themeColor="text1"/>
          <w:sz w:val="22"/>
          <w:szCs w:val="22"/>
        </w:rPr>
        <w:t>Our Global Delivery Framework</w:t>
      </w:r>
    </w:p>
    <w:p w14:paraId="68022AF8" w14:textId="77777777" w:rsidR="00363CED" w:rsidRPr="002A1476" w:rsidRDefault="00363CED" w:rsidP="00363CED">
      <w:pPr>
        <w:ind w:firstLine="720"/>
        <w:jc w:val="both"/>
        <w:rPr>
          <w:color w:val="000000" w:themeColor="text1"/>
          <w:sz w:val="22"/>
          <w:szCs w:val="22"/>
        </w:rPr>
      </w:pPr>
    </w:p>
    <w:p w14:paraId="36374782"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 xml:space="preserve">We have over </w:t>
      </w:r>
      <w:r>
        <w:rPr>
          <w:color w:val="000000" w:themeColor="text1"/>
          <w:sz w:val="22"/>
          <w:szCs w:val="22"/>
        </w:rPr>
        <w:t>4,0</w:t>
      </w:r>
      <w:r w:rsidRPr="002A1476">
        <w:rPr>
          <w:color w:val="000000" w:themeColor="text1"/>
          <w:sz w:val="22"/>
          <w:szCs w:val="22"/>
        </w:rPr>
        <w:t xml:space="preserve">00 employees </w:t>
      </w:r>
      <w:r>
        <w:rPr>
          <w:color w:val="000000" w:themeColor="text1"/>
          <w:sz w:val="22"/>
          <w:szCs w:val="22"/>
        </w:rPr>
        <w:t xml:space="preserve">and associates </w:t>
      </w:r>
      <w:r w:rsidRPr="002A1476">
        <w:rPr>
          <w:color w:val="000000" w:themeColor="text1"/>
          <w:sz w:val="22"/>
          <w:szCs w:val="22"/>
        </w:rPr>
        <w:t xml:space="preserve">across </w:t>
      </w:r>
      <w:r>
        <w:rPr>
          <w:color w:val="000000" w:themeColor="text1"/>
          <w:sz w:val="22"/>
          <w:szCs w:val="22"/>
        </w:rPr>
        <w:t>23</w:t>
      </w:r>
      <w:r w:rsidRPr="002A1476">
        <w:rPr>
          <w:color w:val="000000" w:themeColor="text1"/>
          <w:sz w:val="22"/>
          <w:szCs w:val="22"/>
        </w:rPr>
        <w:t xml:space="preserve"> countries</w:t>
      </w:r>
      <w:r>
        <w:rPr>
          <w:color w:val="000000" w:themeColor="text1"/>
          <w:sz w:val="22"/>
          <w:szCs w:val="22"/>
        </w:rPr>
        <w:t xml:space="preserve">. Many of them have </w:t>
      </w:r>
      <w:r w:rsidRPr="002A1476">
        <w:rPr>
          <w:color w:val="000000" w:themeColor="text1"/>
          <w:sz w:val="22"/>
          <w:szCs w:val="22"/>
        </w:rPr>
        <w:t>data domain expertise in various fields, including law, sciences, health, finance, and technology</w:t>
      </w:r>
      <w:r>
        <w:rPr>
          <w:color w:val="000000" w:themeColor="text1"/>
          <w:sz w:val="22"/>
          <w:szCs w:val="22"/>
        </w:rPr>
        <w:t xml:space="preserve"> and </w:t>
      </w:r>
      <w:r w:rsidRPr="002A1476">
        <w:rPr>
          <w:color w:val="000000" w:themeColor="text1"/>
          <w:sz w:val="22"/>
          <w:szCs w:val="22"/>
        </w:rPr>
        <w:t xml:space="preserve">hold advanced degrees. We also have access to a large population of “crowdsourced” workers that we maintain in our databases. Our delivery locations are strategically located to give us access to a diverse talent base spanning multiple time zones and </w:t>
      </w:r>
      <w:r>
        <w:rPr>
          <w:color w:val="000000" w:themeColor="text1"/>
          <w:sz w:val="22"/>
          <w:szCs w:val="22"/>
        </w:rPr>
        <w:t xml:space="preserve">more than 40 </w:t>
      </w:r>
      <w:r w:rsidRPr="002A1476">
        <w:rPr>
          <w:color w:val="000000" w:themeColor="text1"/>
          <w:sz w:val="22"/>
          <w:szCs w:val="22"/>
        </w:rPr>
        <w:t>languages.</w:t>
      </w:r>
    </w:p>
    <w:p w14:paraId="01BF10C9" w14:textId="77777777" w:rsidR="00363CED" w:rsidRPr="002A1476" w:rsidRDefault="00363CED" w:rsidP="00363CED">
      <w:pPr>
        <w:ind w:firstLine="720"/>
        <w:jc w:val="both"/>
        <w:rPr>
          <w:color w:val="000000" w:themeColor="text1"/>
          <w:sz w:val="22"/>
          <w:szCs w:val="22"/>
        </w:rPr>
      </w:pPr>
    </w:p>
    <w:p w14:paraId="19F3983C"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r w:rsidRPr="002A1476">
        <w:rPr>
          <w:bCs/>
          <w:color w:val="000000" w:themeColor="text1"/>
          <w:sz w:val="22"/>
          <w:szCs w:val="22"/>
        </w:rPr>
        <w:t xml:space="preserve">We have also invested in building a proprietary resource management platform geared specifically to managing remote staff and freelancers. Prior to the global pandemic, our operating model was to almost exclusively use full-time employees working from large production centers. Propelled by the need to shift to remote working, we are presently </w:t>
      </w:r>
      <w:r w:rsidRPr="00C73461">
        <w:rPr>
          <w:bCs/>
          <w:color w:val="000000" w:themeColor="text1"/>
          <w:sz w:val="22"/>
          <w:szCs w:val="22"/>
        </w:rPr>
        <w:t>approximately 75%</w:t>
      </w:r>
      <w:r w:rsidRPr="002A1476">
        <w:rPr>
          <w:bCs/>
          <w:color w:val="000000" w:themeColor="text1"/>
          <w:sz w:val="22"/>
          <w:szCs w:val="22"/>
        </w:rPr>
        <w:t xml:space="preserve"> cloud-based and remote, which has enabled us to lower fixed operating costs and achieve greater scalability. </w:t>
      </w:r>
    </w:p>
    <w:p w14:paraId="3123E588" w14:textId="77777777" w:rsidR="00363CED" w:rsidRPr="002A1476" w:rsidRDefault="00363CED" w:rsidP="00363CED">
      <w:pPr>
        <w:ind w:firstLine="720"/>
        <w:jc w:val="both"/>
        <w:rPr>
          <w:color w:val="000000" w:themeColor="text1"/>
          <w:sz w:val="22"/>
          <w:szCs w:val="22"/>
        </w:rPr>
      </w:pPr>
    </w:p>
    <w:p w14:paraId="49295192" w14:textId="77777777" w:rsidR="00363CED" w:rsidRPr="002A1476" w:rsidRDefault="00363CED" w:rsidP="00363CED">
      <w:pPr>
        <w:ind w:firstLine="720"/>
        <w:jc w:val="both"/>
        <w:rPr>
          <w:i/>
          <w:iCs/>
          <w:color w:val="000000" w:themeColor="text1"/>
          <w:sz w:val="22"/>
          <w:szCs w:val="22"/>
        </w:rPr>
      </w:pPr>
      <w:r w:rsidRPr="002A1476">
        <w:rPr>
          <w:i/>
          <w:iCs/>
          <w:color w:val="000000" w:themeColor="text1"/>
          <w:sz w:val="22"/>
          <w:szCs w:val="22"/>
        </w:rPr>
        <w:t>Our Technology</w:t>
      </w:r>
    </w:p>
    <w:p w14:paraId="512B2C99" w14:textId="77777777" w:rsidR="00363CED" w:rsidRPr="002A1476" w:rsidRDefault="00363CED" w:rsidP="00363CED">
      <w:pPr>
        <w:ind w:firstLine="720"/>
        <w:jc w:val="both"/>
        <w:rPr>
          <w:color w:val="000000" w:themeColor="text1"/>
          <w:sz w:val="22"/>
          <w:szCs w:val="22"/>
        </w:rPr>
      </w:pPr>
    </w:p>
    <w:p w14:paraId="005ACC44"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 xml:space="preserve">Over the past </w:t>
      </w:r>
      <w:r>
        <w:rPr>
          <w:color w:val="000000" w:themeColor="text1"/>
          <w:sz w:val="22"/>
          <w:szCs w:val="22"/>
        </w:rPr>
        <w:t>seven</w:t>
      </w:r>
      <w:r w:rsidRPr="002A1476">
        <w:rPr>
          <w:color w:val="000000" w:themeColor="text1"/>
          <w:sz w:val="22"/>
          <w:szCs w:val="22"/>
        </w:rPr>
        <w:t xml:space="preserve"> years, we have built a technology infrastructure that automates complex data annotation and other data engineering tasks. Our technology infrastructure combines advanced dataflow, orchestration and cognitive processing, and purpose-built applications used by human experts, which we refer to as “workbenches”. This infrastructure enables us to perform data annotation and other data engineering tasks at progressively higher levels of efficiency without compromising quality as it continuously learns from human experts.</w:t>
      </w:r>
      <w:r>
        <w:rPr>
          <w:color w:val="000000" w:themeColor="text1"/>
          <w:sz w:val="22"/>
          <w:szCs w:val="22"/>
        </w:rPr>
        <w:t xml:space="preserve"> </w:t>
      </w:r>
      <w:r w:rsidRPr="000532E8">
        <w:rPr>
          <w:color w:val="000000"/>
          <w:sz w:val="22"/>
          <w:szCs w:val="22"/>
          <w:shd w:val="clear" w:color="auto" w:fill="FFFFFF"/>
        </w:rPr>
        <w:t>Our workbenches incorporate data verification and validation algorithms to detect human expert inconsistencies and to catch difficult auto-annotation errors such as LLM hallucinations.</w:t>
      </w:r>
    </w:p>
    <w:p w14:paraId="365B08A6" w14:textId="77777777" w:rsidR="00363CED" w:rsidRPr="002A1476" w:rsidRDefault="00363CED" w:rsidP="00363CED">
      <w:pPr>
        <w:ind w:firstLine="720"/>
        <w:jc w:val="both"/>
        <w:rPr>
          <w:color w:val="000000" w:themeColor="text1"/>
          <w:sz w:val="22"/>
          <w:szCs w:val="22"/>
        </w:rPr>
      </w:pPr>
    </w:p>
    <w:p w14:paraId="5D6787C5"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 xml:space="preserve">Our proprietary, state-of-the-art Goldengate platform is our core AI technology stack. Goldengate ingests unstructured data and performs a series of cognitive tasks to extract intelligence and create analytical data that people can use for generating inferences and powering analytical applications. It serves up </w:t>
      </w:r>
      <w:r>
        <w:rPr>
          <w:color w:val="000000" w:themeColor="text1"/>
          <w:sz w:val="22"/>
          <w:szCs w:val="22"/>
        </w:rPr>
        <w:t>low</w:t>
      </w:r>
      <w:r w:rsidRPr="002A1476">
        <w:rPr>
          <w:color w:val="000000" w:themeColor="text1"/>
          <w:sz w:val="22"/>
          <w:szCs w:val="22"/>
        </w:rPr>
        <w:t xml:space="preserve">-code AI with transfer learning, orchestrating generative </w:t>
      </w:r>
      <w:r>
        <w:rPr>
          <w:color w:val="000000" w:themeColor="text1"/>
          <w:sz w:val="22"/>
          <w:szCs w:val="22"/>
        </w:rPr>
        <w:t>LLMs</w:t>
      </w:r>
      <w:r w:rsidRPr="002A1476">
        <w:rPr>
          <w:color w:val="000000" w:themeColor="text1"/>
          <w:sz w:val="22"/>
          <w:szCs w:val="22"/>
        </w:rPr>
        <w:t xml:space="preserve"> we have developed over the past seven years of deploying industrial deep neural networks as well as third-party foundation models. It integrates both with our internal systems and customer environments through application programming interfaces (“APIs”).</w:t>
      </w:r>
    </w:p>
    <w:p w14:paraId="67D07305" w14:textId="77777777" w:rsidR="00363CED" w:rsidRPr="002A1476" w:rsidRDefault="00363CED" w:rsidP="00363CED">
      <w:pPr>
        <w:jc w:val="both"/>
        <w:rPr>
          <w:color w:val="000000" w:themeColor="text1"/>
          <w:sz w:val="22"/>
          <w:szCs w:val="22"/>
        </w:rPr>
      </w:pPr>
    </w:p>
    <w:p w14:paraId="42D97A95"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Goldengate serves as the foundational technology for the AI projects we perform for customers, as well as the AI-under-the-hood that powers our data annotation platform and our industry platforms. One of the main benefits of the platform is that it</w:t>
      </w:r>
      <w:r>
        <w:rPr>
          <w:color w:val="000000" w:themeColor="text1"/>
          <w:sz w:val="22"/>
          <w:szCs w:val="22"/>
        </w:rPr>
        <w:t xml:space="preserve"> is</w:t>
      </w:r>
      <w:r w:rsidRPr="002A1476">
        <w:rPr>
          <w:color w:val="000000" w:themeColor="text1"/>
          <w:sz w:val="22"/>
          <w:szCs w:val="22"/>
        </w:rPr>
        <w:t xml:space="preserve"> “</w:t>
      </w:r>
      <w:r>
        <w:rPr>
          <w:color w:val="000000" w:themeColor="text1"/>
          <w:sz w:val="22"/>
          <w:szCs w:val="22"/>
        </w:rPr>
        <w:t>low</w:t>
      </w:r>
      <w:r w:rsidRPr="002A1476">
        <w:rPr>
          <w:color w:val="000000" w:themeColor="text1"/>
          <w:sz w:val="22"/>
          <w:szCs w:val="22"/>
        </w:rPr>
        <w:t>-code”, so it does not require a large number of data scientists to build models or require a data science platform to orchestrate models and update models. Using Goldengate in combination with our SMEs, we are able to build high-performing, cutting-edge models that address real-world problems. In 2021 we further AI-enabled Synodex, Agility and our data annotation platform using Goldengate; in 2022, we commercialized it further as both a customer-facing technology and as the engine under other potential industry solutions.</w:t>
      </w:r>
    </w:p>
    <w:p w14:paraId="2C4071F5" w14:textId="77777777" w:rsidR="00363CED" w:rsidRPr="002A1476" w:rsidRDefault="00363CED" w:rsidP="00363CED">
      <w:pPr>
        <w:jc w:val="both"/>
        <w:rPr>
          <w:color w:val="000000" w:themeColor="text1"/>
          <w:sz w:val="22"/>
          <w:szCs w:val="22"/>
        </w:rPr>
      </w:pPr>
    </w:p>
    <w:p w14:paraId="3F6096F3"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lastRenderedPageBreak/>
        <w:t>To support our Agility industry platform, we have built a fully scalable, cloud-based infrastructure that powers a SaaS experience for global customers on a 24/7 basis. It includes (i) an AI/ML-powered big data media intelligence platform that indexes two billion media items per year, powering media monitoring, media enrichment, and media database APIs; (ii) a full targeting workflow platform that integrates media targeting, content curation, content distribution, integrated newswires, and a newsroom; (iii) a comprehensive database of more than one million global media influencers and journalists; (iv) a media monitoring and analytics engine; and (v) a workflow platform for media database research combining AI and machine learning to streamline research workflows for discovery and maintenance of our database.</w:t>
      </w:r>
    </w:p>
    <w:p w14:paraId="778BC509" w14:textId="77777777" w:rsidR="00363CED" w:rsidRPr="002A1476" w:rsidRDefault="00363CED" w:rsidP="00363CED">
      <w:pPr>
        <w:ind w:firstLine="720"/>
        <w:jc w:val="both"/>
        <w:rPr>
          <w:color w:val="000000" w:themeColor="text1"/>
          <w:sz w:val="22"/>
          <w:szCs w:val="22"/>
        </w:rPr>
      </w:pPr>
    </w:p>
    <w:p w14:paraId="4812E587"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In January 2023, we released a module within our Agility product called PR CoPilot™ that augments the work communications professionals do to generate press releases and media outreach. It leverage</w:t>
      </w:r>
      <w:r>
        <w:rPr>
          <w:color w:val="000000" w:themeColor="text1"/>
          <w:sz w:val="22"/>
          <w:szCs w:val="22"/>
        </w:rPr>
        <w:t>s</w:t>
      </w:r>
      <w:r w:rsidRPr="002A1476">
        <w:rPr>
          <w:color w:val="000000" w:themeColor="text1"/>
          <w:sz w:val="22"/>
          <w:szCs w:val="22"/>
        </w:rPr>
        <w:t xml:space="preserve"> proprietary Innodata technology and OpenAI’s GPT large language models. We believe PR CoPilot is the first AI writing assistant built natively into a fully-integrated PR platform.</w:t>
      </w:r>
    </w:p>
    <w:p w14:paraId="17FC3E3E" w14:textId="77777777" w:rsidR="00363CED" w:rsidRPr="002A1476" w:rsidRDefault="00363CED" w:rsidP="00363CED">
      <w:pPr>
        <w:ind w:firstLine="720"/>
        <w:jc w:val="both"/>
        <w:rPr>
          <w:color w:val="000000" w:themeColor="text1"/>
          <w:sz w:val="22"/>
          <w:szCs w:val="22"/>
        </w:rPr>
      </w:pPr>
    </w:p>
    <w:p w14:paraId="42EC8DF7"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 xml:space="preserve">To support our Synodex industry platform, we have built technologies for transforming imaged medical records and HL7/FHIR electronic health records (EHR) systems into digital data conforming to proprietary insurance medical data dictionaries that span diseases and impairments, diagnostic tests, </w:t>
      </w:r>
      <w:r>
        <w:rPr>
          <w:color w:val="000000" w:themeColor="text1"/>
          <w:sz w:val="22"/>
          <w:szCs w:val="22"/>
        </w:rPr>
        <w:t xml:space="preserve">and </w:t>
      </w:r>
      <w:r w:rsidRPr="002A1476">
        <w:rPr>
          <w:color w:val="000000" w:themeColor="text1"/>
          <w:sz w:val="22"/>
          <w:szCs w:val="22"/>
        </w:rPr>
        <w:t>pharmacology and support industry standard codes such as ICD-10 as well as rules engines for processing, analyzing and displaying the digital data.</w:t>
      </w:r>
    </w:p>
    <w:p w14:paraId="080F147A" w14:textId="77777777" w:rsidR="00363CED" w:rsidRPr="002A1476" w:rsidRDefault="00363CED" w:rsidP="00363CED">
      <w:pPr>
        <w:jc w:val="both"/>
        <w:rPr>
          <w:color w:val="000000" w:themeColor="text1"/>
          <w:sz w:val="22"/>
          <w:szCs w:val="22"/>
        </w:rPr>
      </w:pPr>
    </w:p>
    <w:p w14:paraId="45913455" w14:textId="77777777" w:rsidR="00363CED" w:rsidRPr="002A1476" w:rsidRDefault="00363CED" w:rsidP="00363CED">
      <w:pPr>
        <w:ind w:firstLine="720"/>
        <w:jc w:val="both"/>
        <w:rPr>
          <w:color w:val="000000" w:themeColor="text1"/>
          <w:sz w:val="22"/>
          <w:szCs w:val="22"/>
        </w:rPr>
      </w:pPr>
      <w:r w:rsidRPr="002A1476">
        <w:rPr>
          <w:i/>
          <w:iCs/>
          <w:color w:val="000000" w:themeColor="text1"/>
          <w:sz w:val="22"/>
          <w:szCs w:val="22"/>
        </w:rPr>
        <w:t>Our Infrastructure</w:t>
      </w:r>
    </w:p>
    <w:p w14:paraId="6E917A91" w14:textId="77777777" w:rsidR="00363CED" w:rsidRPr="002A1476" w:rsidRDefault="00363CED" w:rsidP="00363CED">
      <w:pPr>
        <w:ind w:firstLine="720"/>
        <w:jc w:val="both"/>
        <w:rPr>
          <w:color w:val="000000" w:themeColor="text1"/>
          <w:sz w:val="22"/>
          <w:szCs w:val="22"/>
        </w:rPr>
      </w:pPr>
    </w:p>
    <w:p w14:paraId="5E17F6C6" w14:textId="14B60213" w:rsidR="00363CED" w:rsidRPr="002A1476" w:rsidRDefault="00363CED" w:rsidP="00363CED">
      <w:pPr>
        <w:ind w:firstLine="720"/>
        <w:jc w:val="both"/>
        <w:rPr>
          <w:color w:val="000000" w:themeColor="text1"/>
          <w:sz w:val="22"/>
          <w:szCs w:val="22"/>
        </w:rPr>
      </w:pPr>
      <w:r w:rsidRPr="002A1476">
        <w:rPr>
          <w:color w:val="000000" w:themeColor="text1"/>
          <w:sz w:val="22"/>
          <w:szCs w:val="22"/>
        </w:rPr>
        <w:t>Our infrastructure supports a range of strategies to suit our customers’ requirements for data security, compliance, scalability and reliability. Our user endpoints are secured with cloud-managed security solutions consisting of firewall, IDS/IPS, vulnerability scanning and patch management engines. We host data and applications in our own data centers at our operations centers, in our customers’ data centers, and on third-party cloud services including Amazon Web Services (“AWS”), Microsoft Azure (“Azure”), Oracle Cloud Infrastructure (“OCI”)</w:t>
      </w:r>
      <w:r>
        <w:rPr>
          <w:color w:val="000000" w:themeColor="text1"/>
          <w:sz w:val="22"/>
          <w:szCs w:val="22"/>
        </w:rPr>
        <w:t>, and Google Cloud Platform (“GCP”)</w:t>
      </w:r>
      <w:r w:rsidRPr="002A1476">
        <w:rPr>
          <w:color w:val="000000" w:themeColor="text1"/>
          <w:sz w:val="22"/>
          <w:szCs w:val="22"/>
        </w:rPr>
        <w:t xml:space="preserve"> that provide the benefit of “infinite scalability” of information technology resources. Our data operations are linked by multiple redundant network connections. Our Wide Area Network – along with our Local Area Networks, Storage Area Networks, Network Attached Storage and data centers – are configured with industry standard redundancy, often with more than one backup to establish 24x7 availability. In 2022, our Wide Area Network had 99.98% uptime excluding scheduled maintenance. We encrypt all sensitive information, both at rest and in transit, to the Advanced Encryption Standard (AES) 256 or similar standard, and we employ a range of security features, including industry-leading managed firewalls and intrusion detection and prevention services. (</w:t>
      </w:r>
      <w:r w:rsidRPr="002A1476">
        <w:rPr>
          <w:i/>
          <w:iCs/>
          <w:color w:val="000000" w:themeColor="text1"/>
          <w:sz w:val="22"/>
          <w:szCs w:val="22"/>
        </w:rPr>
        <w:t>See “Information Security”, below.</w:t>
      </w:r>
      <w:r w:rsidRPr="002A1476">
        <w:rPr>
          <w:color w:val="000000" w:themeColor="text1"/>
          <w:sz w:val="22"/>
          <w:szCs w:val="22"/>
        </w:rPr>
        <w:t>)</w:t>
      </w:r>
    </w:p>
    <w:p w14:paraId="5862EB8F" w14:textId="77777777" w:rsidR="00363CED" w:rsidRPr="002A1476" w:rsidRDefault="00363CED" w:rsidP="00363CED">
      <w:pPr>
        <w:ind w:firstLine="720"/>
        <w:jc w:val="both"/>
        <w:rPr>
          <w:color w:val="000000" w:themeColor="text1"/>
          <w:sz w:val="22"/>
          <w:szCs w:val="22"/>
        </w:rPr>
      </w:pPr>
    </w:p>
    <w:p w14:paraId="65F3C0C9" w14:textId="77777777" w:rsidR="00363CED" w:rsidRPr="002A1476" w:rsidRDefault="00363CED" w:rsidP="00363CED">
      <w:pPr>
        <w:ind w:firstLine="720"/>
        <w:jc w:val="both"/>
        <w:rPr>
          <w:i/>
          <w:iCs/>
          <w:color w:val="000000" w:themeColor="text1"/>
          <w:sz w:val="22"/>
          <w:szCs w:val="22"/>
        </w:rPr>
      </w:pPr>
      <w:r w:rsidRPr="002A1476">
        <w:rPr>
          <w:i/>
          <w:iCs/>
          <w:color w:val="000000" w:themeColor="text1"/>
          <w:sz w:val="22"/>
          <w:szCs w:val="22"/>
        </w:rPr>
        <w:t>Our Brea</w:t>
      </w:r>
      <w:r>
        <w:rPr>
          <w:i/>
          <w:iCs/>
          <w:color w:val="000000" w:themeColor="text1"/>
          <w:sz w:val="22"/>
          <w:szCs w:val="22"/>
        </w:rPr>
        <w:t>d</w:t>
      </w:r>
      <w:r w:rsidRPr="002A1476">
        <w:rPr>
          <w:i/>
          <w:iCs/>
          <w:color w:val="000000" w:themeColor="text1"/>
          <w:sz w:val="22"/>
          <w:szCs w:val="22"/>
        </w:rPr>
        <w:t>th of Capabilities</w:t>
      </w:r>
    </w:p>
    <w:p w14:paraId="5337D82D" w14:textId="77777777" w:rsidR="00363CED" w:rsidRPr="002A1476" w:rsidRDefault="00363CED" w:rsidP="00363CED">
      <w:pPr>
        <w:ind w:firstLine="720"/>
        <w:jc w:val="both"/>
        <w:rPr>
          <w:color w:val="000000" w:themeColor="text1"/>
          <w:sz w:val="22"/>
          <w:szCs w:val="22"/>
        </w:rPr>
      </w:pPr>
    </w:p>
    <w:p w14:paraId="206D2B8A"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 xml:space="preserve">We are able to address customers at their highest point of need. For example, we may provide data annotation for a data sciences team at a bank that is building an AI application to manage complex loan agreements. For another banking customer with the same requirement but without </w:t>
      </w:r>
      <w:r>
        <w:rPr>
          <w:color w:val="000000" w:themeColor="text1"/>
          <w:sz w:val="22"/>
          <w:szCs w:val="22"/>
        </w:rPr>
        <w:t>access to sophisticated</w:t>
      </w:r>
      <w:r w:rsidRPr="002A1476">
        <w:rPr>
          <w:color w:val="000000" w:themeColor="text1"/>
          <w:sz w:val="22"/>
          <w:szCs w:val="22"/>
        </w:rPr>
        <w:t xml:space="preserve"> </w:t>
      </w:r>
      <w:r>
        <w:rPr>
          <w:color w:val="000000" w:themeColor="text1"/>
          <w:sz w:val="22"/>
          <w:szCs w:val="22"/>
        </w:rPr>
        <w:t xml:space="preserve">data </w:t>
      </w:r>
      <w:r w:rsidRPr="002A1476">
        <w:rPr>
          <w:color w:val="000000" w:themeColor="text1"/>
          <w:sz w:val="22"/>
          <w:szCs w:val="22"/>
        </w:rPr>
        <w:t xml:space="preserve">sciences </w:t>
      </w:r>
      <w:r>
        <w:rPr>
          <w:color w:val="000000" w:themeColor="text1"/>
          <w:sz w:val="22"/>
          <w:szCs w:val="22"/>
        </w:rPr>
        <w:t>support</w:t>
      </w:r>
      <w:r w:rsidRPr="002A1476">
        <w:rPr>
          <w:color w:val="000000" w:themeColor="text1"/>
          <w:sz w:val="22"/>
          <w:szCs w:val="22"/>
        </w:rPr>
        <w:t>, we might provide a full AI/ML solution built on our proprietary Goldengate AI platform that extracts key data points from the loan agreements and outputs normalized digital data via an API to the bank’s existing application. For still another banking customer that also lack</w:t>
      </w:r>
      <w:r>
        <w:rPr>
          <w:color w:val="000000" w:themeColor="text1"/>
          <w:sz w:val="22"/>
          <w:szCs w:val="22"/>
        </w:rPr>
        <w:t>s</w:t>
      </w:r>
      <w:r w:rsidRPr="002A1476">
        <w:rPr>
          <w:color w:val="000000" w:themeColor="text1"/>
          <w:sz w:val="22"/>
          <w:szCs w:val="22"/>
        </w:rPr>
        <w:t xml:space="preserve"> an application</w:t>
      </w:r>
      <w:r>
        <w:rPr>
          <w:color w:val="000000" w:themeColor="text1"/>
          <w:sz w:val="22"/>
          <w:szCs w:val="22"/>
        </w:rPr>
        <w:t xml:space="preserve"> to analyze and manage the data</w:t>
      </w:r>
      <w:r w:rsidRPr="002A1476">
        <w:rPr>
          <w:color w:val="000000" w:themeColor="text1"/>
          <w:sz w:val="22"/>
          <w:szCs w:val="22"/>
        </w:rPr>
        <w:t>, we might provide a data analytics platform.</w:t>
      </w:r>
    </w:p>
    <w:p w14:paraId="172C03E9" w14:textId="77777777" w:rsidR="00363CED" w:rsidRPr="002A1476" w:rsidRDefault="00363CED" w:rsidP="00363CED">
      <w:pPr>
        <w:ind w:firstLine="720"/>
        <w:jc w:val="both"/>
        <w:rPr>
          <w:color w:val="000000" w:themeColor="text1"/>
          <w:sz w:val="22"/>
          <w:szCs w:val="22"/>
        </w:rPr>
      </w:pPr>
    </w:p>
    <w:p w14:paraId="0E9EACA8"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Data science teams that utilize our data annotation services also often have other related needs that include data transformation, data curation, data hygiene, data consolidation, data compliance, and master data management. Unlike many of our data annotation competitors – that are essentially</w:t>
      </w:r>
      <w:r w:rsidRPr="002A1476">
        <w:rPr>
          <w:bCs/>
          <w:color w:val="000000" w:themeColor="text1"/>
          <w:sz w:val="22"/>
          <w:szCs w:val="22"/>
        </w:rPr>
        <w:t xml:space="preserve"> staffing companies </w:t>
      </w:r>
      <w:r w:rsidRPr="002A1476">
        <w:rPr>
          <w:color w:val="000000" w:themeColor="text1"/>
          <w:sz w:val="22"/>
          <w:szCs w:val="22"/>
        </w:rPr>
        <w:t>– as a full-service data engineering company we are able to address these attendant requirements.</w:t>
      </w:r>
    </w:p>
    <w:p w14:paraId="7852668B" w14:textId="77777777" w:rsidR="00363CED" w:rsidRPr="002A1476" w:rsidRDefault="00363CED" w:rsidP="00363CED">
      <w:pPr>
        <w:ind w:firstLine="720"/>
        <w:jc w:val="both"/>
        <w:rPr>
          <w:color w:val="000000" w:themeColor="text1"/>
          <w:sz w:val="22"/>
          <w:szCs w:val="22"/>
        </w:rPr>
      </w:pPr>
    </w:p>
    <w:p w14:paraId="0C34E792" w14:textId="77777777" w:rsidR="00363CED" w:rsidRPr="002A1476" w:rsidRDefault="00363CED" w:rsidP="00363CED">
      <w:pPr>
        <w:tabs>
          <w:tab w:val="left" w:pos="720"/>
        </w:tabs>
        <w:ind w:left="720"/>
        <w:jc w:val="both"/>
        <w:rPr>
          <w:i/>
          <w:iCs/>
          <w:color w:val="000000" w:themeColor="text1"/>
          <w:sz w:val="22"/>
          <w:szCs w:val="22"/>
        </w:rPr>
      </w:pPr>
      <w:r w:rsidRPr="002A1476">
        <w:rPr>
          <w:i/>
          <w:iCs/>
          <w:color w:val="000000" w:themeColor="text1"/>
          <w:sz w:val="22"/>
          <w:szCs w:val="22"/>
        </w:rPr>
        <w:t>Our Legacy</w:t>
      </w:r>
    </w:p>
    <w:p w14:paraId="64A4964B" w14:textId="77777777" w:rsidR="00363CED" w:rsidRPr="002A1476" w:rsidRDefault="00363CED" w:rsidP="00363CED">
      <w:pPr>
        <w:pStyle w:val="NormalWeb"/>
        <w:jc w:val="both"/>
        <w:rPr>
          <w:color w:val="000000" w:themeColor="text1"/>
          <w:sz w:val="22"/>
          <w:szCs w:val="22"/>
        </w:rPr>
      </w:pPr>
      <w:r w:rsidRPr="002A1476">
        <w:rPr>
          <w:color w:val="000000" w:themeColor="text1"/>
          <w:sz w:val="22"/>
          <w:szCs w:val="22"/>
        </w:rPr>
        <w:lastRenderedPageBreak/>
        <w:tab/>
        <w:t xml:space="preserve">We developed our capabilities and honed our </w:t>
      </w:r>
      <w:r>
        <w:rPr>
          <w:color w:val="000000" w:themeColor="text1"/>
          <w:sz w:val="22"/>
          <w:szCs w:val="22"/>
        </w:rPr>
        <w:t xml:space="preserve">approaches </w:t>
      </w:r>
      <w:r w:rsidRPr="002A1476">
        <w:rPr>
          <w:color w:val="000000" w:themeColor="text1"/>
          <w:sz w:val="22"/>
          <w:szCs w:val="22"/>
        </w:rPr>
        <w:t xml:space="preserve">progressively over the last 30 years </w:t>
      </w:r>
      <w:r w:rsidRPr="002A1476">
        <w:rPr>
          <w:bCs/>
          <w:color w:val="000000" w:themeColor="text1"/>
          <w:sz w:val="22"/>
          <w:szCs w:val="22"/>
        </w:rPr>
        <w:t xml:space="preserve">creating high-quality data </w:t>
      </w:r>
      <w:r w:rsidRPr="002A1476">
        <w:rPr>
          <w:color w:val="000000" w:themeColor="text1"/>
          <w:sz w:val="22"/>
          <w:szCs w:val="22"/>
        </w:rPr>
        <w:t>for many of the world’s most demanding information companies. Approximately seven years ago, we formed Innodata Labs, a research and development center, to research, develop and apply machine learning and emerging AI to our large-scale, human-intensive data operations. In 2019, we began packaging the capabilities that emerged from our R&amp;D efforts in order to align with several fast-growing new markets and help companies use AI/ML to drive performance benefits and business insights.</w:t>
      </w:r>
    </w:p>
    <w:p w14:paraId="19269550" w14:textId="77777777" w:rsidR="00363CED" w:rsidRPr="002A1476" w:rsidRDefault="00363CED" w:rsidP="00363CED">
      <w:pPr>
        <w:pStyle w:val="NormalWeb"/>
        <w:ind w:firstLine="720"/>
        <w:jc w:val="both"/>
        <w:rPr>
          <w:b/>
          <w:color w:val="000000" w:themeColor="text1"/>
          <w:sz w:val="22"/>
          <w:szCs w:val="22"/>
        </w:rPr>
      </w:pPr>
      <w:r w:rsidRPr="002A1476">
        <w:rPr>
          <w:color w:val="000000" w:themeColor="text1"/>
          <w:sz w:val="22"/>
          <w:szCs w:val="22"/>
        </w:rPr>
        <w:t>Our historical core competency in high-quality data, combined with these R&amp;D efforts in applied AI, created the foundation for the evolution of our offerings, which include AI Data Preparation, AI Model Deployment and Integration, and AI-Enabled Industry Platforms.</w:t>
      </w:r>
    </w:p>
    <w:p w14:paraId="783ADE46" w14:textId="77777777" w:rsidR="00363CED" w:rsidRPr="002A1476" w:rsidRDefault="00363CED" w:rsidP="00363CED">
      <w:pPr>
        <w:pStyle w:val="NormalWeb"/>
        <w:rPr>
          <w:i/>
          <w:iCs/>
          <w:color w:val="000000" w:themeColor="text1"/>
          <w:sz w:val="22"/>
          <w:szCs w:val="22"/>
        </w:rPr>
      </w:pPr>
      <w:r w:rsidRPr="002A1476">
        <w:rPr>
          <w:color w:val="000000" w:themeColor="text1"/>
          <w:sz w:val="22"/>
          <w:szCs w:val="22"/>
        </w:rPr>
        <w:tab/>
      </w:r>
      <w:r w:rsidRPr="002A1476">
        <w:rPr>
          <w:i/>
          <w:iCs/>
          <w:color w:val="000000" w:themeColor="text1"/>
          <w:sz w:val="22"/>
          <w:szCs w:val="22"/>
        </w:rPr>
        <w:t>Our Culture</w:t>
      </w:r>
    </w:p>
    <w:p w14:paraId="056E16D3" w14:textId="77777777" w:rsidR="00363CED" w:rsidRPr="002A1476" w:rsidRDefault="00363CED" w:rsidP="00363CED">
      <w:pPr>
        <w:tabs>
          <w:tab w:val="left" w:pos="720"/>
        </w:tabs>
        <w:jc w:val="both"/>
        <w:rPr>
          <w:color w:val="000000" w:themeColor="text1"/>
          <w:sz w:val="22"/>
          <w:szCs w:val="22"/>
        </w:rPr>
      </w:pPr>
      <w:r w:rsidRPr="002A1476">
        <w:rPr>
          <w:color w:val="000000" w:themeColor="text1"/>
          <w:sz w:val="22"/>
          <w:szCs w:val="22"/>
        </w:rPr>
        <w:tab/>
        <w:t xml:space="preserve">We have developed a strong customer- and quality-centric culture over 30 years </w:t>
      </w:r>
      <w:r>
        <w:rPr>
          <w:color w:val="000000" w:themeColor="text1"/>
          <w:sz w:val="22"/>
          <w:szCs w:val="22"/>
        </w:rPr>
        <w:t xml:space="preserve">serving </w:t>
      </w:r>
      <w:r w:rsidRPr="002A1476">
        <w:rPr>
          <w:color w:val="000000" w:themeColor="text1"/>
          <w:sz w:val="22"/>
          <w:szCs w:val="22"/>
        </w:rPr>
        <w:t xml:space="preserve">many of the world’s most successful companies </w:t>
      </w:r>
      <w:r>
        <w:rPr>
          <w:color w:val="000000" w:themeColor="text1"/>
          <w:sz w:val="22"/>
          <w:szCs w:val="22"/>
        </w:rPr>
        <w:t>that</w:t>
      </w:r>
      <w:r w:rsidRPr="002A1476">
        <w:rPr>
          <w:color w:val="000000" w:themeColor="text1"/>
          <w:sz w:val="22"/>
          <w:szCs w:val="22"/>
        </w:rPr>
        <w:t xml:space="preserve"> trust us with their data needs. We believe in communicating honestly, transparently and broadly. We are optimistic in the promise of technology to augmenting human initiative and talent.  We embrace diversity </w:t>
      </w:r>
      <w:r>
        <w:rPr>
          <w:color w:val="000000" w:themeColor="text1"/>
          <w:sz w:val="22"/>
          <w:szCs w:val="22"/>
        </w:rPr>
        <w:t xml:space="preserve">(and began doing so long </w:t>
      </w:r>
      <w:r w:rsidRPr="002A1476">
        <w:rPr>
          <w:color w:val="000000" w:themeColor="text1"/>
          <w:sz w:val="22"/>
          <w:szCs w:val="22"/>
        </w:rPr>
        <w:t>before it was in vogue</w:t>
      </w:r>
      <w:r>
        <w:rPr>
          <w:color w:val="000000" w:themeColor="text1"/>
          <w:sz w:val="22"/>
          <w:szCs w:val="22"/>
        </w:rPr>
        <w:t>)</w:t>
      </w:r>
      <w:r w:rsidRPr="002A1476">
        <w:rPr>
          <w:color w:val="000000" w:themeColor="text1"/>
          <w:sz w:val="22"/>
          <w:szCs w:val="22"/>
        </w:rPr>
        <w:t xml:space="preserve">. We prize empathy </w:t>
      </w:r>
      <w:r>
        <w:rPr>
          <w:color w:val="000000" w:themeColor="text1"/>
          <w:sz w:val="22"/>
          <w:szCs w:val="22"/>
        </w:rPr>
        <w:t xml:space="preserve">and respect in our relationships </w:t>
      </w:r>
      <w:r w:rsidRPr="002A1476">
        <w:rPr>
          <w:color w:val="000000" w:themeColor="text1"/>
          <w:sz w:val="22"/>
          <w:szCs w:val="22"/>
        </w:rPr>
        <w:t xml:space="preserve">with customers </w:t>
      </w:r>
      <w:r>
        <w:rPr>
          <w:color w:val="000000" w:themeColor="text1"/>
          <w:sz w:val="22"/>
          <w:szCs w:val="22"/>
        </w:rPr>
        <w:t xml:space="preserve">and </w:t>
      </w:r>
      <w:r w:rsidRPr="002A1476">
        <w:rPr>
          <w:color w:val="000000" w:themeColor="text1"/>
          <w:sz w:val="22"/>
          <w:szCs w:val="22"/>
        </w:rPr>
        <w:t xml:space="preserve">colleagues </w:t>
      </w:r>
      <w:r>
        <w:rPr>
          <w:color w:val="000000" w:themeColor="text1"/>
          <w:sz w:val="22"/>
          <w:szCs w:val="22"/>
        </w:rPr>
        <w:t xml:space="preserve">alike </w:t>
      </w:r>
      <w:r w:rsidRPr="002A1476">
        <w:rPr>
          <w:color w:val="000000" w:themeColor="text1"/>
          <w:sz w:val="22"/>
          <w:szCs w:val="22"/>
        </w:rPr>
        <w:t xml:space="preserve">while at the same time </w:t>
      </w:r>
      <w:r>
        <w:rPr>
          <w:color w:val="000000" w:themeColor="text1"/>
          <w:sz w:val="22"/>
          <w:szCs w:val="22"/>
        </w:rPr>
        <w:t>honing direct communication that best</w:t>
      </w:r>
      <w:r w:rsidRPr="002A1476">
        <w:rPr>
          <w:color w:val="000000" w:themeColor="text1"/>
          <w:sz w:val="22"/>
          <w:szCs w:val="22"/>
        </w:rPr>
        <w:t xml:space="preserve"> promotes optimal business outcomes for our customers. We believe our culture helps us best serve our customers and helps us attract and retain top people.</w:t>
      </w:r>
    </w:p>
    <w:p w14:paraId="6B6E45A3" w14:textId="77777777" w:rsidR="00363CED" w:rsidRPr="002A1476" w:rsidRDefault="00363CED" w:rsidP="00363CED">
      <w:pPr>
        <w:tabs>
          <w:tab w:val="left" w:pos="720"/>
        </w:tabs>
        <w:jc w:val="both"/>
        <w:rPr>
          <w:color w:val="000000" w:themeColor="text1"/>
          <w:sz w:val="22"/>
          <w:szCs w:val="22"/>
        </w:rPr>
      </w:pPr>
    </w:p>
    <w:p w14:paraId="007265C5" w14:textId="77777777" w:rsidR="00363CED" w:rsidRPr="002A1476" w:rsidRDefault="00363CED" w:rsidP="00363CED">
      <w:pPr>
        <w:pStyle w:val="NormalWeb"/>
        <w:keepNext/>
        <w:spacing w:before="0" w:beforeAutospacing="0" w:after="0" w:afterAutospacing="0"/>
        <w:jc w:val="both"/>
        <w:rPr>
          <w:b/>
          <w:color w:val="000000" w:themeColor="text1"/>
          <w:sz w:val="22"/>
          <w:szCs w:val="22"/>
        </w:rPr>
      </w:pPr>
      <w:r w:rsidRPr="002A1476">
        <w:rPr>
          <w:b/>
          <w:color w:val="000000" w:themeColor="text1"/>
          <w:sz w:val="22"/>
          <w:szCs w:val="22"/>
        </w:rPr>
        <w:t>Growth Strategy</w:t>
      </w:r>
    </w:p>
    <w:p w14:paraId="3FB6EB3E" w14:textId="77777777" w:rsidR="00363CED" w:rsidRPr="002A1476" w:rsidRDefault="00363CED" w:rsidP="00363CED">
      <w:pPr>
        <w:pStyle w:val="NormalWeb"/>
        <w:keepNext/>
        <w:spacing w:before="0" w:beforeAutospacing="0" w:after="0" w:afterAutospacing="0"/>
        <w:jc w:val="both"/>
        <w:rPr>
          <w:b/>
          <w:color w:val="000000" w:themeColor="text1"/>
          <w:sz w:val="22"/>
          <w:szCs w:val="22"/>
        </w:rPr>
      </w:pPr>
    </w:p>
    <w:p w14:paraId="676B7799" w14:textId="77777777" w:rsidR="00363CED" w:rsidRPr="002A1476" w:rsidRDefault="00363CED" w:rsidP="00363CED">
      <w:pPr>
        <w:pStyle w:val="NormalWeb"/>
        <w:keepNext/>
        <w:spacing w:before="0" w:beforeAutospacing="0" w:after="0" w:afterAutospacing="0"/>
        <w:jc w:val="both"/>
        <w:rPr>
          <w:bCs/>
          <w:color w:val="000000" w:themeColor="text1"/>
          <w:sz w:val="22"/>
          <w:szCs w:val="22"/>
        </w:rPr>
      </w:pPr>
      <w:r w:rsidRPr="002A1476">
        <w:rPr>
          <w:b/>
          <w:color w:val="000000" w:themeColor="text1"/>
          <w:sz w:val="22"/>
          <w:szCs w:val="22"/>
        </w:rPr>
        <w:tab/>
      </w:r>
      <w:r w:rsidRPr="002A1476">
        <w:rPr>
          <w:bCs/>
          <w:color w:val="000000" w:themeColor="text1"/>
          <w:sz w:val="22"/>
          <w:szCs w:val="22"/>
        </w:rPr>
        <w:t>We believe that</w:t>
      </w:r>
      <w:r w:rsidRPr="002A1476">
        <w:rPr>
          <w:b/>
          <w:color w:val="000000" w:themeColor="text1"/>
          <w:sz w:val="22"/>
          <w:szCs w:val="22"/>
        </w:rPr>
        <w:t xml:space="preserve"> </w:t>
      </w:r>
      <w:r w:rsidRPr="002A1476">
        <w:rPr>
          <w:bCs/>
          <w:color w:val="000000" w:themeColor="text1"/>
          <w:sz w:val="22"/>
          <w:szCs w:val="22"/>
        </w:rPr>
        <w:t xml:space="preserve">we are living in a unique time – that AI will soon become the “brains” of our computers, our robots and our cars; and that AI will be adopted by thousands of enterprises to deliver services and products that would have been impossible with </w:t>
      </w:r>
      <w:r>
        <w:rPr>
          <w:bCs/>
          <w:color w:val="000000" w:themeColor="text1"/>
          <w:sz w:val="22"/>
          <w:szCs w:val="22"/>
        </w:rPr>
        <w:t>traditional</w:t>
      </w:r>
      <w:r w:rsidRPr="002A1476">
        <w:rPr>
          <w:bCs/>
          <w:color w:val="000000" w:themeColor="text1"/>
          <w:sz w:val="22"/>
          <w:szCs w:val="22"/>
        </w:rPr>
        <w:t xml:space="preserve"> coding.  </w:t>
      </w:r>
    </w:p>
    <w:p w14:paraId="20D8183A"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1D263546"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r w:rsidRPr="002A1476">
        <w:rPr>
          <w:bCs/>
          <w:color w:val="000000" w:themeColor="text1"/>
          <w:sz w:val="22"/>
          <w:szCs w:val="22"/>
        </w:rPr>
        <w:t xml:space="preserve">In AI, the software writes itself by learning from large amounts of data. Nowhere does the phrase “garbage in, garbage out” apply better. </w:t>
      </w:r>
      <w:r>
        <w:rPr>
          <w:bCs/>
          <w:color w:val="000000" w:themeColor="text1"/>
          <w:sz w:val="22"/>
          <w:szCs w:val="22"/>
        </w:rPr>
        <w:t>A data-centric approach for collection and annotation of consistent, h</w:t>
      </w:r>
      <w:r w:rsidRPr="002A1476">
        <w:rPr>
          <w:bCs/>
          <w:color w:val="000000" w:themeColor="text1"/>
          <w:sz w:val="22"/>
          <w:szCs w:val="22"/>
        </w:rPr>
        <w:t>igh-quality data will separate the winners from the losers.</w:t>
      </w:r>
    </w:p>
    <w:p w14:paraId="5DD68DDA"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0B0CD2B8"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r w:rsidRPr="002A1476">
        <w:rPr>
          <w:bCs/>
          <w:color w:val="000000" w:themeColor="text1"/>
          <w:sz w:val="22"/>
          <w:szCs w:val="22"/>
        </w:rPr>
        <w:t>Our strategy</w:t>
      </w:r>
      <w:r w:rsidRPr="002A1476">
        <w:rPr>
          <w:b/>
          <w:color w:val="000000" w:themeColor="text1"/>
          <w:sz w:val="22"/>
          <w:szCs w:val="22"/>
        </w:rPr>
        <w:t xml:space="preserve"> </w:t>
      </w:r>
      <w:r w:rsidRPr="002A1476">
        <w:rPr>
          <w:bCs/>
          <w:color w:val="000000" w:themeColor="text1"/>
          <w:sz w:val="22"/>
          <w:szCs w:val="22"/>
        </w:rPr>
        <w:t xml:space="preserve">for growth is to </w:t>
      </w:r>
      <w:r>
        <w:rPr>
          <w:bCs/>
          <w:color w:val="000000" w:themeColor="text1"/>
          <w:sz w:val="22"/>
          <w:szCs w:val="22"/>
        </w:rPr>
        <w:t xml:space="preserve">leverage our 30+ year experience creating high quality data. We intend to </w:t>
      </w:r>
      <w:r w:rsidRPr="002A1476">
        <w:rPr>
          <w:bCs/>
          <w:color w:val="000000" w:themeColor="text1"/>
          <w:sz w:val="22"/>
          <w:szCs w:val="22"/>
        </w:rPr>
        <w:t>align to and serve large, dynamic and rapidly growing markets related to the creation and commercialization of increasingly sophisticated AI and deployment of AI in businesses. Our solutions and platforms leverage the technology, human resources, and culture of fanaticism for data quality that we have developed over the past 30 years, as well as the AI/ML research and development we have invested in over the past seven years.</w:t>
      </w:r>
    </w:p>
    <w:p w14:paraId="05FC8D40"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44C390C3" w14:textId="77777777" w:rsidR="00363CED" w:rsidRPr="002A1476" w:rsidRDefault="00363CED" w:rsidP="00363CED">
      <w:pPr>
        <w:pStyle w:val="NormalWeb"/>
        <w:spacing w:before="0" w:beforeAutospacing="0" w:after="0" w:afterAutospacing="0"/>
        <w:jc w:val="both"/>
        <w:rPr>
          <w:bCs/>
          <w:color w:val="000000" w:themeColor="text1"/>
          <w:sz w:val="22"/>
          <w:szCs w:val="22"/>
        </w:rPr>
      </w:pPr>
      <w:r w:rsidRPr="002A1476">
        <w:rPr>
          <w:bCs/>
          <w:color w:val="000000" w:themeColor="text1"/>
          <w:sz w:val="22"/>
          <w:szCs w:val="22"/>
        </w:rPr>
        <w:t>Key elements of our growth strategy include:</w:t>
      </w:r>
    </w:p>
    <w:p w14:paraId="1D9571BE"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093944E4" w14:textId="77777777" w:rsidR="00363CED" w:rsidRPr="002A1476" w:rsidRDefault="00363CED" w:rsidP="00363CED">
      <w:pPr>
        <w:pStyle w:val="NormalWeb"/>
        <w:spacing w:before="0" w:beforeAutospacing="0" w:after="0" w:afterAutospacing="0"/>
        <w:ind w:firstLine="720"/>
        <w:jc w:val="both"/>
        <w:rPr>
          <w:bCs/>
          <w:i/>
          <w:iCs/>
          <w:color w:val="000000" w:themeColor="text1"/>
          <w:sz w:val="22"/>
          <w:szCs w:val="22"/>
        </w:rPr>
      </w:pPr>
      <w:r w:rsidRPr="002A1476">
        <w:rPr>
          <w:bCs/>
          <w:i/>
          <w:iCs/>
          <w:color w:val="000000" w:themeColor="text1"/>
          <w:sz w:val="22"/>
          <w:szCs w:val="22"/>
        </w:rPr>
        <w:t>Driving New Customer Acquisition</w:t>
      </w:r>
    </w:p>
    <w:p w14:paraId="7514A183"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338511C1"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r w:rsidRPr="002A1476">
        <w:rPr>
          <w:bCs/>
          <w:color w:val="000000" w:themeColor="text1"/>
          <w:sz w:val="22"/>
          <w:szCs w:val="22"/>
        </w:rPr>
        <w:t>We believe we are still in the early stages of penetrating our addressable markets. We intend to pursue new long-term, strategic customer relationships, especially with customers with large and growing commitments to AI innovation, where we can deliver a wide range of our capabilities and have meaningful impact.</w:t>
      </w:r>
    </w:p>
    <w:p w14:paraId="1306FA00"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p>
    <w:p w14:paraId="0DB18029"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r w:rsidRPr="002A1476">
        <w:rPr>
          <w:bCs/>
          <w:color w:val="000000" w:themeColor="text1"/>
          <w:sz w:val="22"/>
          <w:szCs w:val="22"/>
        </w:rPr>
        <w:t xml:space="preserve">Beginning in 2021, we substantially scaled our sales organization, most notably the sales organization supporting our Agility PR solutions product. In late 2021 and early 2022, we experienced challenges in retaining sales hires </w:t>
      </w:r>
      <w:r>
        <w:rPr>
          <w:bCs/>
          <w:color w:val="000000" w:themeColor="text1"/>
          <w:sz w:val="22"/>
          <w:szCs w:val="22"/>
        </w:rPr>
        <w:t xml:space="preserve">primarily </w:t>
      </w:r>
      <w:r w:rsidRPr="002A1476">
        <w:rPr>
          <w:bCs/>
          <w:color w:val="000000" w:themeColor="text1"/>
          <w:sz w:val="22"/>
          <w:szCs w:val="22"/>
        </w:rPr>
        <w:t>in our Austin, Texas sales office. We have since closed that sales office, have focused on hiring and retaining sales talent in other locations and in building a data-driven sales organization. We believe that the current sales organization is operating well and will likely enable us to achieve our near-term growth targets.</w:t>
      </w:r>
    </w:p>
    <w:p w14:paraId="6D8E542C"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08400D6E" w14:textId="77777777" w:rsidR="00363CED" w:rsidRPr="002A1476" w:rsidRDefault="00363CED" w:rsidP="00363CED">
      <w:pPr>
        <w:pStyle w:val="NormalWeb"/>
        <w:spacing w:before="0" w:beforeAutospacing="0" w:after="0" w:afterAutospacing="0"/>
        <w:ind w:firstLine="720"/>
        <w:jc w:val="both"/>
        <w:rPr>
          <w:bCs/>
          <w:i/>
          <w:iCs/>
          <w:color w:val="000000" w:themeColor="text1"/>
          <w:sz w:val="22"/>
          <w:szCs w:val="22"/>
        </w:rPr>
      </w:pPr>
      <w:r w:rsidRPr="002A1476">
        <w:rPr>
          <w:bCs/>
          <w:i/>
          <w:iCs/>
          <w:color w:val="000000" w:themeColor="text1"/>
          <w:sz w:val="22"/>
          <w:szCs w:val="22"/>
        </w:rPr>
        <w:lastRenderedPageBreak/>
        <w:t>Expanding Relationships with Existing Customers</w:t>
      </w:r>
    </w:p>
    <w:p w14:paraId="1C4FE8BD"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40A061D8"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r w:rsidRPr="002A1476">
        <w:rPr>
          <w:bCs/>
          <w:color w:val="000000" w:themeColor="text1"/>
          <w:sz w:val="22"/>
          <w:szCs w:val="22"/>
        </w:rPr>
        <w:t xml:space="preserve">We </w:t>
      </w:r>
      <w:r>
        <w:rPr>
          <w:bCs/>
          <w:color w:val="000000" w:themeColor="text1"/>
          <w:sz w:val="22"/>
          <w:szCs w:val="22"/>
        </w:rPr>
        <w:t xml:space="preserve">believe we </w:t>
      </w:r>
      <w:r w:rsidRPr="002A1476">
        <w:rPr>
          <w:bCs/>
          <w:color w:val="000000" w:themeColor="text1"/>
          <w:sz w:val="22"/>
          <w:szCs w:val="22"/>
        </w:rPr>
        <w:t>have demonstrated a clear ability to “land-and-expand” within customer accounts. Once we engage with a customer within a specific line of business and specific use cases, and the customer experience</w:t>
      </w:r>
      <w:r>
        <w:rPr>
          <w:bCs/>
          <w:color w:val="000000" w:themeColor="text1"/>
          <w:sz w:val="22"/>
          <w:szCs w:val="22"/>
        </w:rPr>
        <w:t>s</w:t>
      </w:r>
      <w:r w:rsidRPr="002A1476">
        <w:rPr>
          <w:bCs/>
          <w:color w:val="000000" w:themeColor="text1"/>
          <w:sz w:val="22"/>
          <w:szCs w:val="22"/>
        </w:rPr>
        <w:t xml:space="preserve"> the benefits of working with us, </w:t>
      </w:r>
      <w:r>
        <w:rPr>
          <w:bCs/>
          <w:color w:val="000000" w:themeColor="text1"/>
          <w:sz w:val="22"/>
          <w:szCs w:val="22"/>
        </w:rPr>
        <w:t>it will often</w:t>
      </w:r>
      <w:r w:rsidRPr="002A1476">
        <w:rPr>
          <w:bCs/>
          <w:color w:val="000000" w:themeColor="text1"/>
          <w:sz w:val="22"/>
          <w:szCs w:val="22"/>
        </w:rPr>
        <w:t xml:space="preserve"> increase the number of use cases </w:t>
      </w:r>
      <w:r>
        <w:rPr>
          <w:bCs/>
          <w:color w:val="000000" w:themeColor="text1"/>
          <w:sz w:val="22"/>
          <w:szCs w:val="22"/>
        </w:rPr>
        <w:t xml:space="preserve">for which it engages us </w:t>
      </w:r>
      <w:r w:rsidRPr="002A1476">
        <w:rPr>
          <w:bCs/>
          <w:color w:val="000000" w:themeColor="text1"/>
          <w:sz w:val="22"/>
          <w:szCs w:val="22"/>
        </w:rPr>
        <w:t>and expand to additional lines of business.</w:t>
      </w:r>
    </w:p>
    <w:p w14:paraId="63D6645F"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32D5869A" w14:textId="77777777" w:rsidR="00363CED" w:rsidRPr="002A1476" w:rsidRDefault="00363CED" w:rsidP="00363CED">
      <w:pPr>
        <w:pStyle w:val="NormalWeb"/>
        <w:spacing w:before="0" w:beforeAutospacing="0" w:after="0" w:afterAutospacing="0"/>
        <w:ind w:firstLine="720"/>
        <w:jc w:val="both"/>
        <w:rPr>
          <w:bCs/>
          <w:i/>
          <w:iCs/>
          <w:color w:val="000000" w:themeColor="text1"/>
          <w:sz w:val="22"/>
          <w:szCs w:val="22"/>
        </w:rPr>
      </w:pPr>
      <w:r w:rsidRPr="002A1476">
        <w:rPr>
          <w:bCs/>
          <w:i/>
          <w:iCs/>
          <w:color w:val="000000" w:themeColor="text1"/>
          <w:sz w:val="22"/>
          <w:szCs w:val="22"/>
        </w:rPr>
        <w:t>Continuing to Develop New Capabilities</w:t>
      </w:r>
    </w:p>
    <w:p w14:paraId="44997F9D"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4FC17051"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r w:rsidRPr="002A1476">
        <w:rPr>
          <w:bCs/>
          <w:color w:val="000000" w:themeColor="text1"/>
          <w:sz w:val="22"/>
          <w:szCs w:val="22"/>
        </w:rPr>
        <w:t>We intend to develop new capabilities designed around emerging customer needs and advances in AI technologies.</w:t>
      </w:r>
      <w:r w:rsidRPr="00E8662F">
        <w:rPr>
          <w:bCs/>
          <w:color w:val="000000" w:themeColor="text1"/>
          <w:sz w:val="22"/>
          <w:szCs w:val="22"/>
        </w:rPr>
        <w:t xml:space="preserve"> </w:t>
      </w:r>
      <w:r w:rsidRPr="00B50995">
        <w:rPr>
          <w:bCs/>
          <w:color w:val="000000" w:themeColor="text1"/>
          <w:sz w:val="22"/>
          <w:szCs w:val="22"/>
        </w:rPr>
        <w:t>We inten</w:t>
      </w:r>
      <w:r>
        <w:rPr>
          <w:bCs/>
          <w:color w:val="000000" w:themeColor="text1"/>
          <w:sz w:val="22"/>
          <w:szCs w:val="22"/>
        </w:rPr>
        <w:t>d</w:t>
      </w:r>
      <w:r w:rsidRPr="00B50995">
        <w:rPr>
          <w:bCs/>
          <w:color w:val="000000" w:themeColor="text1"/>
          <w:sz w:val="22"/>
          <w:szCs w:val="22"/>
        </w:rPr>
        <w:t xml:space="preserve"> to develop additional charter customer relationships, like the </w:t>
      </w:r>
      <w:r>
        <w:rPr>
          <w:bCs/>
          <w:color w:val="000000" w:themeColor="text1"/>
          <w:sz w:val="22"/>
          <w:szCs w:val="22"/>
        </w:rPr>
        <w:t xml:space="preserve">ongoing </w:t>
      </w:r>
      <w:r w:rsidRPr="00B50995">
        <w:rPr>
          <w:bCs/>
          <w:color w:val="000000" w:themeColor="text1"/>
          <w:sz w:val="22"/>
          <w:szCs w:val="22"/>
        </w:rPr>
        <w:t>relationship we formed with one of the world’s largest banks to co-develop an AI-enabled compliance platform.</w:t>
      </w:r>
    </w:p>
    <w:p w14:paraId="4AFEBBCD"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2977824A" w14:textId="77777777" w:rsidR="00363CED" w:rsidRPr="002A1476" w:rsidRDefault="00363CED" w:rsidP="00363CED">
      <w:pPr>
        <w:pStyle w:val="NormalWeb"/>
        <w:spacing w:before="0" w:beforeAutospacing="0" w:after="0" w:afterAutospacing="0"/>
        <w:ind w:firstLine="720"/>
        <w:jc w:val="both"/>
        <w:rPr>
          <w:bCs/>
          <w:i/>
          <w:iCs/>
          <w:color w:val="000000" w:themeColor="text1"/>
          <w:sz w:val="22"/>
          <w:szCs w:val="22"/>
        </w:rPr>
      </w:pPr>
      <w:r w:rsidRPr="002A1476">
        <w:rPr>
          <w:bCs/>
          <w:i/>
          <w:iCs/>
          <w:color w:val="000000" w:themeColor="text1"/>
          <w:sz w:val="22"/>
          <w:szCs w:val="22"/>
        </w:rPr>
        <w:t>Continuing to Innovate</w:t>
      </w:r>
    </w:p>
    <w:p w14:paraId="68CE0A0D"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p>
    <w:p w14:paraId="43648544" w14:textId="77777777" w:rsidR="00363CED" w:rsidRPr="002A1476" w:rsidRDefault="00363CED" w:rsidP="00363CED">
      <w:pPr>
        <w:pStyle w:val="NormalWeb"/>
        <w:spacing w:before="0" w:beforeAutospacing="0" w:after="0" w:afterAutospacing="0"/>
        <w:ind w:firstLine="720"/>
        <w:jc w:val="both"/>
        <w:rPr>
          <w:bCs/>
          <w:color w:val="000000" w:themeColor="text1"/>
          <w:sz w:val="22"/>
          <w:szCs w:val="22"/>
        </w:rPr>
      </w:pPr>
      <w:r w:rsidRPr="002A1476">
        <w:rPr>
          <w:bCs/>
          <w:color w:val="000000" w:themeColor="text1"/>
          <w:sz w:val="22"/>
          <w:szCs w:val="22"/>
        </w:rPr>
        <w:t xml:space="preserve">We believe that our ability to innovate will continue to be an important contributor to our growth and market traction. We work closely with our customers, assessing their requirements for enhancements to our existing capabilities and new capabilities with the goal of better serving them. </w:t>
      </w:r>
      <w:r>
        <w:rPr>
          <w:bCs/>
          <w:color w:val="000000" w:themeColor="text1"/>
          <w:sz w:val="22"/>
          <w:szCs w:val="22"/>
        </w:rPr>
        <w:t>W</w:t>
      </w:r>
      <w:r w:rsidRPr="002A1476">
        <w:rPr>
          <w:bCs/>
          <w:color w:val="000000" w:themeColor="text1"/>
          <w:sz w:val="22"/>
          <w:szCs w:val="22"/>
        </w:rPr>
        <w:t xml:space="preserve">e have well-defined roadmaps </w:t>
      </w:r>
      <w:r>
        <w:rPr>
          <w:bCs/>
          <w:color w:val="000000" w:themeColor="text1"/>
          <w:sz w:val="22"/>
          <w:szCs w:val="22"/>
        </w:rPr>
        <w:t xml:space="preserve">for our AI industry platforms </w:t>
      </w:r>
      <w:r w:rsidRPr="002A1476">
        <w:rPr>
          <w:bCs/>
          <w:color w:val="000000" w:themeColor="text1"/>
          <w:sz w:val="22"/>
          <w:szCs w:val="22"/>
        </w:rPr>
        <w:t xml:space="preserve">to introduce new features and </w:t>
      </w:r>
      <w:r>
        <w:rPr>
          <w:bCs/>
          <w:color w:val="000000" w:themeColor="text1"/>
          <w:sz w:val="22"/>
          <w:szCs w:val="22"/>
        </w:rPr>
        <w:t>functions</w:t>
      </w:r>
      <w:r w:rsidRPr="002A1476">
        <w:rPr>
          <w:bCs/>
          <w:color w:val="000000" w:themeColor="text1"/>
          <w:sz w:val="22"/>
          <w:szCs w:val="22"/>
        </w:rPr>
        <w:t xml:space="preserve"> that we believe will </w:t>
      </w:r>
      <w:r>
        <w:rPr>
          <w:bCs/>
          <w:color w:val="000000" w:themeColor="text1"/>
          <w:sz w:val="22"/>
          <w:szCs w:val="22"/>
        </w:rPr>
        <w:t>enable</w:t>
      </w:r>
      <w:r w:rsidRPr="002A1476">
        <w:rPr>
          <w:bCs/>
          <w:color w:val="000000" w:themeColor="text1"/>
          <w:sz w:val="22"/>
          <w:szCs w:val="22"/>
        </w:rPr>
        <w:t xml:space="preserve"> </w:t>
      </w:r>
      <w:r>
        <w:rPr>
          <w:bCs/>
          <w:color w:val="000000" w:themeColor="text1"/>
          <w:sz w:val="22"/>
          <w:szCs w:val="22"/>
        </w:rPr>
        <w:t>us</w:t>
      </w:r>
      <w:r w:rsidRPr="002A1476">
        <w:rPr>
          <w:bCs/>
          <w:color w:val="000000" w:themeColor="text1"/>
          <w:sz w:val="22"/>
          <w:szCs w:val="22"/>
        </w:rPr>
        <w:t xml:space="preserve"> to </w:t>
      </w:r>
      <w:r>
        <w:rPr>
          <w:bCs/>
          <w:color w:val="000000" w:themeColor="text1"/>
          <w:sz w:val="22"/>
          <w:szCs w:val="22"/>
        </w:rPr>
        <w:t>generate</w:t>
      </w:r>
      <w:r w:rsidRPr="002A1476">
        <w:rPr>
          <w:bCs/>
          <w:color w:val="000000" w:themeColor="text1"/>
          <w:sz w:val="22"/>
          <w:szCs w:val="22"/>
        </w:rPr>
        <w:t xml:space="preserve"> </w:t>
      </w:r>
      <w:r>
        <w:rPr>
          <w:bCs/>
          <w:color w:val="000000" w:themeColor="text1"/>
          <w:sz w:val="22"/>
          <w:szCs w:val="22"/>
        </w:rPr>
        <w:t>growth</w:t>
      </w:r>
      <w:r w:rsidRPr="002A1476">
        <w:rPr>
          <w:bCs/>
          <w:color w:val="000000" w:themeColor="text1"/>
          <w:sz w:val="22"/>
          <w:szCs w:val="22"/>
        </w:rPr>
        <w:t xml:space="preserve"> by broadening the appeal of our platforms to potential new customers as </w:t>
      </w:r>
      <w:r>
        <w:rPr>
          <w:bCs/>
          <w:color w:val="000000" w:themeColor="text1"/>
          <w:sz w:val="22"/>
          <w:szCs w:val="22"/>
        </w:rPr>
        <w:t>well as</w:t>
      </w:r>
      <w:r w:rsidRPr="002A1476">
        <w:rPr>
          <w:bCs/>
          <w:color w:val="000000" w:themeColor="text1"/>
          <w:sz w:val="22"/>
          <w:szCs w:val="22"/>
        </w:rPr>
        <w:t xml:space="preserve"> increasing the opportunities for further </w:t>
      </w:r>
      <w:r>
        <w:rPr>
          <w:bCs/>
          <w:color w:val="000000" w:themeColor="text1"/>
          <w:sz w:val="22"/>
          <w:szCs w:val="22"/>
        </w:rPr>
        <w:t>expansions with</w:t>
      </w:r>
      <w:r w:rsidRPr="002A1476">
        <w:rPr>
          <w:bCs/>
          <w:color w:val="000000" w:themeColor="text1"/>
          <w:sz w:val="22"/>
          <w:szCs w:val="22"/>
        </w:rPr>
        <w:t xml:space="preserve"> existing customers.</w:t>
      </w:r>
    </w:p>
    <w:p w14:paraId="025954CD"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381700CF" w14:textId="77777777" w:rsidR="00363CED" w:rsidRPr="002A1476" w:rsidRDefault="00363CED" w:rsidP="00363CED">
      <w:pPr>
        <w:pStyle w:val="NormalWeb"/>
        <w:spacing w:before="0" w:beforeAutospacing="0" w:after="0" w:afterAutospacing="0"/>
        <w:jc w:val="both"/>
        <w:rPr>
          <w:bCs/>
          <w:color w:val="000000" w:themeColor="text1"/>
          <w:sz w:val="22"/>
          <w:szCs w:val="22"/>
        </w:rPr>
      </w:pPr>
      <w:r w:rsidRPr="002A1476">
        <w:rPr>
          <w:bCs/>
          <w:color w:val="000000" w:themeColor="text1"/>
          <w:sz w:val="22"/>
          <w:szCs w:val="22"/>
        </w:rPr>
        <w:t xml:space="preserve">We expect to fund these investments for growth from our internal resources </w:t>
      </w:r>
      <w:r>
        <w:rPr>
          <w:bCs/>
          <w:color w:val="000000" w:themeColor="text1"/>
          <w:sz w:val="22"/>
          <w:szCs w:val="22"/>
        </w:rPr>
        <w:t xml:space="preserve">and we may access capital through debt or equity </w:t>
      </w:r>
      <w:r w:rsidRPr="002A1476">
        <w:rPr>
          <w:bCs/>
          <w:color w:val="000000" w:themeColor="text1"/>
          <w:sz w:val="22"/>
          <w:szCs w:val="22"/>
        </w:rPr>
        <w:t>financing.</w:t>
      </w:r>
    </w:p>
    <w:p w14:paraId="6586D1DA" w14:textId="77777777" w:rsidR="00363CED" w:rsidRPr="002A1476" w:rsidRDefault="00363CED" w:rsidP="00363CED">
      <w:pPr>
        <w:pStyle w:val="NormalWeb"/>
        <w:spacing w:before="0" w:beforeAutospacing="0" w:after="0" w:afterAutospacing="0"/>
        <w:jc w:val="both"/>
        <w:rPr>
          <w:bCs/>
          <w:color w:val="000000" w:themeColor="text1"/>
          <w:sz w:val="22"/>
          <w:szCs w:val="22"/>
        </w:rPr>
      </w:pPr>
    </w:p>
    <w:p w14:paraId="002D8213" w14:textId="77777777" w:rsidR="00363CED" w:rsidRPr="002A1476" w:rsidRDefault="00363CED" w:rsidP="00363CED">
      <w:pPr>
        <w:pStyle w:val="NormalWeb"/>
        <w:spacing w:before="0" w:beforeAutospacing="0" w:after="0" w:afterAutospacing="0"/>
        <w:jc w:val="both"/>
        <w:rPr>
          <w:b/>
          <w:color w:val="000000" w:themeColor="text1"/>
          <w:sz w:val="22"/>
          <w:szCs w:val="22"/>
        </w:rPr>
      </w:pPr>
      <w:r w:rsidRPr="002A1476">
        <w:rPr>
          <w:b/>
          <w:color w:val="000000" w:themeColor="text1"/>
          <w:sz w:val="22"/>
          <w:szCs w:val="22"/>
        </w:rPr>
        <w:t>Our Customers</w:t>
      </w:r>
    </w:p>
    <w:p w14:paraId="6CE3B943" w14:textId="77777777" w:rsidR="00363CED" w:rsidRPr="002A1476" w:rsidRDefault="00363CED" w:rsidP="00363CED">
      <w:pPr>
        <w:pStyle w:val="NormalWeb"/>
        <w:spacing w:before="0" w:beforeAutospacing="0" w:after="0" w:afterAutospacing="0"/>
        <w:jc w:val="both"/>
        <w:rPr>
          <w:b/>
          <w:color w:val="000000" w:themeColor="text1"/>
          <w:sz w:val="22"/>
          <w:szCs w:val="22"/>
        </w:rPr>
      </w:pPr>
    </w:p>
    <w:p w14:paraId="77473F8A" w14:textId="77777777" w:rsidR="00363CED" w:rsidRPr="002A1476" w:rsidRDefault="00363CED" w:rsidP="00363CED">
      <w:pPr>
        <w:tabs>
          <w:tab w:val="left" w:pos="-720"/>
          <w:tab w:val="left" w:pos="720"/>
        </w:tabs>
        <w:suppressAutoHyphens/>
        <w:spacing w:line="240" w:lineRule="atLeast"/>
        <w:jc w:val="both"/>
        <w:rPr>
          <w:color w:val="000000" w:themeColor="text1"/>
          <w:spacing w:val="-2"/>
          <w:sz w:val="22"/>
          <w:szCs w:val="22"/>
        </w:rPr>
      </w:pPr>
      <w:r w:rsidRPr="002A1476">
        <w:rPr>
          <w:color w:val="000000" w:themeColor="text1"/>
          <w:sz w:val="22"/>
          <w:szCs w:val="22"/>
        </w:rPr>
        <w:tab/>
        <w:t>Our customers include leading businesses across multiple verticals including banking, insurance, financial services, technology, digital retailing and information/media.</w:t>
      </w:r>
      <w:r w:rsidRPr="002A1476">
        <w:rPr>
          <w:bCs/>
          <w:color w:val="000000" w:themeColor="text1"/>
          <w:spacing w:val="-2"/>
          <w:sz w:val="22"/>
          <w:szCs w:val="22"/>
        </w:rPr>
        <w:t xml:space="preserve"> </w:t>
      </w:r>
      <w:r w:rsidRPr="002A1476">
        <w:rPr>
          <w:color w:val="000000" w:themeColor="text1"/>
          <w:spacing w:val="-2"/>
          <w:sz w:val="22"/>
          <w:szCs w:val="22"/>
        </w:rPr>
        <w:t>One customer in the DDS segment generated approximately 11% of the Company’s total revenues in the fiscal year ended December 31, 2022. Another customer in the DDS segment generated approximately 11% of the Company’s total revenues in the fiscal year ended December 31, 2021. No other customer accounted for 10% or more of total revenues during these periods. Further, in the years ended December 31, 2022 and 2021, revenues from non-U.S. customers accounted for 38% and 45%, respectively, of the Company's revenues.</w:t>
      </w:r>
    </w:p>
    <w:p w14:paraId="035D97A2"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 </w:t>
      </w:r>
    </w:p>
    <w:p w14:paraId="388ED720"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We have long-standing relationships with many of our customers. Our track record of delivering high-quality services helps us to solidify customer relationships. Many of our customers are recurring customers, meaning that they have continued to provide additional projects to us after our initial engagement with them.</w:t>
      </w:r>
    </w:p>
    <w:p w14:paraId="5ADFC615" w14:textId="77777777" w:rsidR="00363CED" w:rsidRPr="002A1476" w:rsidRDefault="00363CED" w:rsidP="00363CED">
      <w:pPr>
        <w:ind w:firstLine="960"/>
        <w:jc w:val="both"/>
        <w:rPr>
          <w:color w:val="000000" w:themeColor="text1"/>
          <w:sz w:val="22"/>
          <w:szCs w:val="22"/>
        </w:rPr>
      </w:pPr>
      <w:r w:rsidRPr="002A1476">
        <w:rPr>
          <w:color w:val="000000" w:themeColor="text1"/>
          <w:sz w:val="22"/>
          <w:szCs w:val="22"/>
        </w:rPr>
        <w:t> </w:t>
      </w:r>
    </w:p>
    <w:p w14:paraId="55BEFD34"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Our agreements with our customers are in many cases terminable on 30 to 90 days’ notice. A substantial portion of the services we provide to our customers is subject to their requirements.</w:t>
      </w:r>
    </w:p>
    <w:p w14:paraId="1B048B1C" w14:textId="77777777" w:rsidR="00363CED" w:rsidRPr="002A1476" w:rsidRDefault="00363CED" w:rsidP="00363CED">
      <w:pPr>
        <w:pStyle w:val="NormalWeb"/>
        <w:spacing w:before="0" w:beforeAutospacing="0" w:after="0" w:afterAutospacing="0"/>
        <w:jc w:val="both"/>
        <w:rPr>
          <w:color w:val="000000" w:themeColor="text1"/>
          <w:sz w:val="22"/>
          <w:szCs w:val="22"/>
          <w:lang w:bidi="he-IL"/>
        </w:rPr>
      </w:pPr>
    </w:p>
    <w:p w14:paraId="18597522" w14:textId="77777777" w:rsidR="00363CED" w:rsidRPr="002A1476" w:rsidRDefault="00363CED" w:rsidP="00363CED">
      <w:pPr>
        <w:pStyle w:val="NormalWeb"/>
        <w:spacing w:before="0" w:beforeAutospacing="0" w:after="0" w:afterAutospacing="0"/>
        <w:jc w:val="both"/>
        <w:rPr>
          <w:b/>
          <w:color w:val="000000" w:themeColor="text1"/>
          <w:sz w:val="22"/>
          <w:szCs w:val="22"/>
        </w:rPr>
      </w:pPr>
      <w:r w:rsidRPr="002A1476">
        <w:rPr>
          <w:b/>
          <w:color w:val="000000" w:themeColor="text1"/>
          <w:sz w:val="22"/>
          <w:szCs w:val="22"/>
        </w:rPr>
        <w:t>Sales and Marketing</w:t>
      </w:r>
    </w:p>
    <w:p w14:paraId="3AEF6987" w14:textId="77777777" w:rsidR="00363CED" w:rsidRPr="002A1476" w:rsidRDefault="00363CED" w:rsidP="00363CED">
      <w:pPr>
        <w:spacing w:before="100" w:beforeAutospacing="1" w:after="100" w:afterAutospacing="1"/>
        <w:ind w:firstLine="720"/>
        <w:jc w:val="both"/>
        <w:rPr>
          <w:color w:val="000000" w:themeColor="text1"/>
          <w:sz w:val="22"/>
          <w:szCs w:val="22"/>
        </w:rPr>
      </w:pPr>
      <w:r w:rsidRPr="002A1476">
        <w:rPr>
          <w:color w:val="000000" w:themeColor="text1"/>
          <w:sz w:val="22"/>
          <w:szCs w:val="22"/>
        </w:rPr>
        <w:t>We market and sell our solutions and platforms directly through our professional staff, senior management and direct sales personnel operating primarily from various locations in the U.S., Canada, the United Kingdom and Europe. In addition, we are increasingly developing and expanding our use of strategic partnerships and channel relationships for the establishment and development of new and existing customers.</w:t>
      </w:r>
    </w:p>
    <w:p w14:paraId="0DB02129" w14:textId="77777777" w:rsidR="00363CED" w:rsidRPr="002A1476" w:rsidRDefault="00363CED" w:rsidP="00363CED">
      <w:pPr>
        <w:spacing w:before="100" w:beforeAutospacing="1" w:after="100" w:afterAutospacing="1"/>
        <w:ind w:firstLine="720"/>
        <w:jc w:val="both"/>
        <w:rPr>
          <w:color w:val="000000" w:themeColor="text1"/>
          <w:sz w:val="22"/>
          <w:szCs w:val="22"/>
        </w:rPr>
      </w:pPr>
      <w:r w:rsidRPr="002A1476">
        <w:rPr>
          <w:color w:val="000000" w:themeColor="text1"/>
          <w:sz w:val="22"/>
          <w:szCs w:val="22"/>
        </w:rPr>
        <w:t>In addition to our executive-level business development professionals and sales and marketing personnel, we also deploy solutions architects, technical support experts and consultants who support the development of new customers and new customer engagements. These resources work within teams (both permanent and ad hoc) that provide support to customers.</w:t>
      </w:r>
    </w:p>
    <w:p w14:paraId="38F4CF74" w14:textId="77777777" w:rsidR="00363CED" w:rsidRPr="002A1476" w:rsidRDefault="00363CED" w:rsidP="00363CED">
      <w:pPr>
        <w:spacing w:before="100" w:beforeAutospacing="1" w:after="100" w:afterAutospacing="1"/>
        <w:ind w:firstLine="720"/>
        <w:jc w:val="both"/>
        <w:rPr>
          <w:color w:val="000000" w:themeColor="text1"/>
          <w:sz w:val="22"/>
          <w:szCs w:val="22"/>
        </w:rPr>
      </w:pPr>
      <w:r w:rsidRPr="002A1476">
        <w:rPr>
          <w:color w:val="000000" w:themeColor="text1"/>
          <w:sz w:val="22"/>
          <w:szCs w:val="22"/>
        </w:rPr>
        <w:lastRenderedPageBreak/>
        <w:t>Our marketing department and sales professionals work together to generate leads. Our sales professionals identify and qualify prospects, securing direct personal access to decision makers at existing and prospective customers. They facilitate interactions between customer personnel and our service teams to define ways in which we can assist customers with their goals. For each prospective customer engagement, we assemble a team of our senior employees drawn from various disciplines within our Company. The team members assume assigned roles in a formalized process, using their combined knowledge and experience to understand the customer’s goals and collaborate with the customer on a solution.</w:t>
      </w:r>
    </w:p>
    <w:p w14:paraId="22C75967" w14:textId="77777777" w:rsidR="00363CED" w:rsidRPr="002A1476" w:rsidRDefault="00363CED" w:rsidP="00363CED">
      <w:pPr>
        <w:spacing w:before="100" w:beforeAutospacing="1" w:after="100" w:afterAutospacing="1"/>
        <w:ind w:firstLine="720"/>
        <w:jc w:val="both"/>
        <w:rPr>
          <w:color w:val="000000" w:themeColor="text1"/>
          <w:sz w:val="22"/>
          <w:szCs w:val="22"/>
        </w:rPr>
      </w:pPr>
      <w:r w:rsidRPr="002A1476">
        <w:rPr>
          <w:color w:val="000000" w:themeColor="text1"/>
          <w:sz w:val="22"/>
          <w:szCs w:val="22"/>
        </w:rPr>
        <w:t>Our marketing organization is responsible for developing and increasing the visibility and awareness of our brand and our service offerings, defining and communicating our value proposition, generating qualified, early-stage leads and furnishing effective sales support tools.</w:t>
      </w:r>
    </w:p>
    <w:p w14:paraId="54BD8A1A" w14:textId="77777777" w:rsidR="00363CED" w:rsidRPr="002A1476" w:rsidRDefault="00363CED" w:rsidP="00363CED">
      <w:pPr>
        <w:spacing w:before="100" w:beforeAutospacing="1" w:after="100" w:afterAutospacing="1"/>
        <w:ind w:firstLine="720"/>
        <w:jc w:val="both"/>
        <w:rPr>
          <w:color w:val="000000" w:themeColor="text1"/>
          <w:sz w:val="22"/>
          <w:szCs w:val="22"/>
        </w:rPr>
      </w:pPr>
      <w:r w:rsidRPr="002A1476">
        <w:rPr>
          <w:color w:val="000000" w:themeColor="text1"/>
          <w:sz w:val="22"/>
          <w:szCs w:val="22"/>
        </w:rPr>
        <w:t>As part of our marketing strategy, we partner with media organizations to build awareness, establish a reputation as an industry thought leader and generate leads. Media partners include trade associations and publications, trade show producers and consulting organizations. These partnerships are particularly valuable in enterprise industries as we build our presence among digital content leaders and decision makers.</w:t>
      </w:r>
    </w:p>
    <w:p w14:paraId="0667DE71" w14:textId="77777777" w:rsidR="00363CED" w:rsidRPr="002A1476" w:rsidRDefault="00363CED" w:rsidP="00363CED">
      <w:pPr>
        <w:spacing w:before="100" w:beforeAutospacing="1" w:after="100" w:afterAutospacing="1"/>
        <w:ind w:firstLine="720"/>
        <w:jc w:val="both"/>
        <w:rPr>
          <w:color w:val="000000" w:themeColor="text1"/>
          <w:sz w:val="22"/>
          <w:szCs w:val="22"/>
        </w:rPr>
      </w:pPr>
      <w:r w:rsidRPr="002A1476">
        <w:rPr>
          <w:color w:val="000000" w:themeColor="text1"/>
          <w:sz w:val="22"/>
          <w:szCs w:val="22"/>
        </w:rPr>
        <w:t>Primary marketing outreach activities include content marketing, event marketing (including exhibiting at trade shows, virtual summits, conferences and seminars), direct and database marketing, public and media relations (including speaking engagements), and web marketing (including integrated marketing campaigns, search engine optimization, search engine marketing and the maintenance and continued development of external websites).</w:t>
      </w:r>
    </w:p>
    <w:p w14:paraId="59CD441B" w14:textId="77777777" w:rsidR="00363CED" w:rsidRPr="002A1476" w:rsidRDefault="00363CED" w:rsidP="00363CED">
      <w:pPr>
        <w:spacing w:before="100" w:beforeAutospacing="1" w:after="100" w:afterAutospacing="1"/>
        <w:ind w:firstLine="720"/>
        <w:jc w:val="both"/>
        <w:rPr>
          <w:color w:val="000000" w:themeColor="text1"/>
          <w:sz w:val="22"/>
          <w:szCs w:val="22"/>
        </w:rPr>
      </w:pPr>
      <w:r w:rsidRPr="002A1476">
        <w:rPr>
          <w:color w:val="000000" w:themeColor="text1"/>
          <w:sz w:val="22"/>
          <w:szCs w:val="22"/>
        </w:rPr>
        <w:t>Sales activities include lead generation, nurturing leads, engaging in discussions with prospective customers to understand their needs, demonstrating our products, designing solutions, responding to requests for proposals, and managing account and customer relationships and activities.</w:t>
      </w:r>
    </w:p>
    <w:p w14:paraId="32BA9C59" w14:textId="77777777" w:rsidR="00363CED" w:rsidRPr="002A1476" w:rsidRDefault="00363CED" w:rsidP="00363CED">
      <w:pPr>
        <w:spacing w:before="100" w:beforeAutospacing="1" w:after="100" w:afterAutospacing="1"/>
        <w:ind w:firstLine="720"/>
        <w:jc w:val="both"/>
        <w:rPr>
          <w:color w:val="000000" w:themeColor="text1"/>
          <w:sz w:val="22"/>
          <w:szCs w:val="22"/>
        </w:rPr>
      </w:pPr>
      <w:r w:rsidRPr="002A1476">
        <w:rPr>
          <w:color w:val="000000" w:themeColor="text1"/>
          <w:sz w:val="22"/>
          <w:szCs w:val="22"/>
        </w:rPr>
        <w:t>Personnel from our solutions analysis group, our customer services group and our engineering services group closely support our direct sales effort. These individuals assist the sales force in understanding the technical needs of customers and providing responses to these needs, including demonstrations, prototypes, pricing quotations and time estimates. In addition, account managers from our customer service group support our direct sales effort by providing ongoing project-level support to our customers.</w:t>
      </w:r>
    </w:p>
    <w:p w14:paraId="3C0CC252" w14:textId="77777777" w:rsidR="00363CED" w:rsidRPr="002A1476" w:rsidRDefault="00363CED" w:rsidP="00363CED">
      <w:pPr>
        <w:pStyle w:val="NormalWeb"/>
        <w:spacing w:before="0" w:beforeAutospacing="0" w:after="0" w:afterAutospacing="0"/>
        <w:jc w:val="both"/>
        <w:rPr>
          <w:b/>
          <w:color w:val="000000" w:themeColor="text1"/>
          <w:sz w:val="22"/>
          <w:szCs w:val="22"/>
        </w:rPr>
      </w:pPr>
      <w:r w:rsidRPr="002A1476">
        <w:rPr>
          <w:b/>
          <w:color w:val="000000" w:themeColor="text1"/>
          <w:sz w:val="22"/>
          <w:szCs w:val="22"/>
        </w:rPr>
        <w:t>Competition</w:t>
      </w:r>
    </w:p>
    <w:p w14:paraId="5087A246" w14:textId="77777777" w:rsidR="00363CED" w:rsidRPr="002A1476" w:rsidRDefault="00363CED" w:rsidP="00363CED">
      <w:pPr>
        <w:pStyle w:val="NormalWeb"/>
        <w:spacing w:before="0" w:beforeAutospacing="0" w:after="0" w:afterAutospacing="0"/>
        <w:jc w:val="both"/>
        <w:rPr>
          <w:b/>
          <w:color w:val="000000" w:themeColor="text1"/>
          <w:sz w:val="22"/>
          <w:szCs w:val="22"/>
        </w:rPr>
      </w:pPr>
    </w:p>
    <w:p w14:paraId="7E693323" w14:textId="77777777" w:rsidR="00363CED" w:rsidRPr="002A1476" w:rsidRDefault="00363CED" w:rsidP="00363CED">
      <w:pPr>
        <w:jc w:val="both"/>
        <w:rPr>
          <w:color w:val="000000" w:themeColor="text1"/>
          <w:sz w:val="22"/>
          <w:szCs w:val="22"/>
        </w:rPr>
      </w:pPr>
      <w:r w:rsidRPr="002A1476">
        <w:rPr>
          <w:color w:val="000000" w:themeColor="text1"/>
          <w:sz w:val="22"/>
          <w:szCs w:val="22"/>
        </w:rPr>
        <w:tab/>
        <w:t xml:space="preserve">Major competitors across industry verticals include Amazon Sagemaker Ground Truth, Appen, CloudFactory, Defined Crowd, Deepen.ai, Telus, Samasource, and Scale AI, several of which are large firms with established customer bases, as well as technology service providers such as Cognizant Technology Solutions, ExlService Holdings, Inc., Genpact Limited, Infosys, and Tata Consultancy Services. </w:t>
      </w:r>
    </w:p>
    <w:p w14:paraId="24DBD282" w14:textId="77777777" w:rsidR="00363CED" w:rsidRPr="002A1476" w:rsidRDefault="00363CED" w:rsidP="00363CED">
      <w:pPr>
        <w:rPr>
          <w:color w:val="000000" w:themeColor="text1"/>
          <w:sz w:val="22"/>
          <w:szCs w:val="22"/>
        </w:rPr>
      </w:pPr>
    </w:p>
    <w:p w14:paraId="20278465" w14:textId="77777777" w:rsidR="00363CED" w:rsidRPr="002A1476" w:rsidRDefault="00363CED" w:rsidP="00363CED">
      <w:pPr>
        <w:jc w:val="both"/>
        <w:rPr>
          <w:color w:val="000000" w:themeColor="text1"/>
          <w:sz w:val="22"/>
          <w:szCs w:val="22"/>
        </w:rPr>
      </w:pPr>
      <w:r w:rsidRPr="002A1476">
        <w:rPr>
          <w:color w:val="000000" w:themeColor="text1"/>
          <w:sz w:val="22"/>
          <w:szCs w:val="22"/>
        </w:rPr>
        <w:tab/>
        <w:t xml:space="preserve">We compete by offering high-quality, competitively-priced solutions that leverage our technical platforms, IT infrastructure, offshore domain experts and economies of scale.  Our competitive advantages are especially attractive to customers for undertakings that are complex, mission-critical, sizable in scope or scale, or that require high levels of information security.  </w:t>
      </w:r>
    </w:p>
    <w:p w14:paraId="270ECEE4" w14:textId="77777777" w:rsidR="00363CED" w:rsidRPr="002A1476" w:rsidRDefault="00363CED" w:rsidP="00363CED">
      <w:pPr>
        <w:tabs>
          <w:tab w:val="left" w:pos="720"/>
        </w:tabs>
        <w:jc w:val="both"/>
        <w:rPr>
          <w:color w:val="000000" w:themeColor="text1"/>
          <w:sz w:val="22"/>
          <w:szCs w:val="22"/>
        </w:rPr>
      </w:pPr>
    </w:p>
    <w:p w14:paraId="7E23BD24" w14:textId="77777777" w:rsidR="00363CED" w:rsidRPr="002A1476" w:rsidRDefault="00363CED" w:rsidP="00363CED">
      <w:pPr>
        <w:tabs>
          <w:tab w:val="left" w:pos="720"/>
          <w:tab w:val="left" w:pos="8640"/>
        </w:tabs>
        <w:jc w:val="both"/>
        <w:rPr>
          <w:color w:val="000000" w:themeColor="text1"/>
          <w:sz w:val="22"/>
          <w:szCs w:val="22"/>
        </w:rPr>
      </w:pPr>
      <w:r w:rsidRPr="002A1476">
        <w:rPr>
          <w:color w:val="000000" w:themeColor="text1"/>
          <w:sz w:val="22"/>
          <w:szCs w:val="22"/>
        </w:rPr>
        <w:tab/>
        <w:t xml:space="preserve">Each of our industry platforms has its discrete set of competitors. Major competitors for our Synodex industry platform are Risk Righter, eNoah, Parameds, Aosta and a few BPO companies, several of which are large firms with established customer bases. We also compete with in-house personnel at existing or prospective customers who may attempt to duplicate our services in-house or use alternative approaches to fulfill their needs. </w:t>
      </w:r>
    </w:p>
    <w:p w14:paraId="3C1C16BF" w14:textId="77777777" w:rsidR="00363CED" w:rsidRPr="002A1476" w:rsidRDefault="00363CED" w:rsidP="00363CED">
      <w:pPr>
        <w:tabs>
          <w:tab w:val="left" w:pos="720"/>
          <w:tab w:val="left" w:pos="8640"/>
        </w:tabs>
        <w:jc w:val="both"/>
        <w:rPr>
          <w:color w:val="000000" w:themeColor="text1"/>
          <w:sz w:val="22"/>
          <w:szCs w:val="22"/>
        </w:rPr>
      </w:pPr>
    </w:p>
    <w:p w14:paraId="1CA18337" w14:textId="77777777" w:rsidR="00363CED" w:rsidRPr="002A1476" w:rsidRDefault="00363CED" w:rsidP="00363CED">
      <w:pPr>
        <w:tabs>
          <w:tab w:val="left" w:pos="720"/>
          <w:tab w:val="left" w:pos="8640"/>
        </w:tabs>
        <w:jc w:val="both"/>
        <w:rPr>
          <w:color w:val="000000" w:themeColor="text1"/>
          <w:sz w:val="22"/>
          <w:szCs w:val="22"/>
        </w:rPr>
      </w:pPr>
      <w:r w:rsidRPr="002A1476">
        <w:rPr>
          <w:color w:val="000000" w:themeColor="text1"/>
          <w:sz w:val="22"/>
          <w:szCs w:val="22"/>
        </w:rPr>
        <w:lastRenderedPageBreak/>
        <w:tab/>
        <w:t xml:space="preserve">Our Agility industry platform competes with Meltwater, Cision, Kantar, and Intrado, several of which are large firms with established customer bases, as well as PR firms that provide media monitoring and analysis services and journalist and influencer databases. Our competitors also include social media listening companies and start-ups offering platforms to amplify messages by targeting social media influencers.  </w:t>
      </w:r>
    </w:p>
    <w:p w14:paraId="7B33A90C" w14:textId="77777777" w:rsidR="00363CED" w:rsidRPr="002A1476" w:rsidRDefault="00363CED" w:rsidP="00363CED">
      <w:pPr>
        <w:pStyle w:val="NormalWeb"/>
        <w:spacing w:before="0" w:beforeAutospacing="0" w:after="0" w:afterAutospacing="0"/>
        <w:jc w:val="both"/>
        <w:rPr>
          <w:b/>
          <w:color w:val="000000" w:themeColor="text1"/>
          <w:sz w:val="22"/>
          <w:szCs w:val="22"/>
        </w:rPr>
      </w:pPr>
    </w:p>
    <w:p w14:paraId="07E929EC" w14:textId="77777777" w:rsidR="00363CED" w:rsidRPr="002A1476" w:rsidRDefault="00363CED" w:rsidP="00363CED">
      <w:pPr>
        <w:pStyle w:val="NormalWeb"/>
        <w:spacing w:before="0" w:beforeAutospacing="0" w:after="0" w:afterAutospacing="0"/>
        <w:jc w:val="both"/>
        <w:rPr>
          <w:b/>
          <w:color w:val="000000" w:themeColor="text1"/>
          <w:sz w:val="22"/>
          <w:szCs w:val="22"/>
        </w:rPr>
      </w:pPr>
      <w:r w:rsidRPr="002A1476">
        <w:rPr>
          <w:b/>
          <w:color w:val="000000" w:themeColor="text1"/>
          <w:sz w:val="22"/>
          <w:szCs w:val="22"/>
        </w:rPr>
        <w:t>Intellectual Property</w:t>
      </w:r>
    </w:p>
    <w:p w14:paraId="16FA0041" w14:textId="77777777" w:rsidR="00363CED" w:rsidRPr="002A1476" w:rsidRDefault="00363CED" w:rsidP="00363CED">
      <w:pPr>
        <w:pStyle w:val="NormalWeb"/>
        <w:spacing w:before="0" w:beforeAutospacing="0" w:after="0" w:afterAutospacing="0"/>
        <w:jc w:val="both"/>
        <w:rPr>
          <w:b/>
          <w:color w:val="000000" w:themeColor="text1"/>
          <w:sz w:val="22"/>
          <w:szCs w:val="22"/>
        </w:rPr>
      </w:pPr>
    </w:p>
    <w:p w14:paraId="0FE875F6" w14:textId="77777777" w:rsidR="00363CED" w:rsidRPr="002A1476" w:rsidRDefault="00363CED" w:rsidP="00363CED">
      <w:pPr>
        <w:spacing w:line="240" w:lineRule="atLeast"/>
        <w:ind w:firstLine="720"/>
        <w:jc w:val="both"/>
        <w:rPr>
          <w:color w:val="000000" w:themeColor="text1"/>
          <w:sz w:val="22"/>
          <w:szCs w:val="22"/>
        </w:rPr>
      </w:pPr>
      <w:r>
        <w:rPr>
          <w:color w:val="000000" w:themeColor="text1"/>
          <w:sz w:val="22"/>
          <w:szCs w:val="22"/>
        </w:rPr>
        <w:t xml:space="preserve">We </w:t>
      </w:r>
      <w:r w:rsidRPr="002A1476">
        <w:rPr>
          <w:color w:val="000000" w:themeColor="text1"/>
          <w:sz w:val="22"/>
          <w:szCs w:val="22"/>
        </w:rPr>
        <w:t xml:space="preserve">depend, in part, upon </w:t>
      </w:r>
      <w:r>
        <w:rPr>
          <w:color w:val="000000" w:themeColor="text1"/>
          <w:sz w:val="22"/>
          <w:szCs w:val="22"/>
        </w:rPr>
        <w:t>our</w:t>
      </w:r>
      <w:r w:rsidRPr="002A1476">
        <w:rPr>
          <w:color w:val="000000" w:themeColor="text1"/>
          <w:sz w:val="22"/>
          <w:szCs w:val="22"/>
        </w:rPr>
        <w:t xml:space="preserve"> proprietary technologies and methodologies, including </w:t>
      </w:r>
      <w:r>
        <w:rPr>
          <w:color w:val="000000" w:themeColor="text1"/>
          <w:sz w:val="22"/>
          <w:szCs w:val="22"/>
        </w:rPr>
        <w:t xml:space="preserve">our </w:t>
      </w:r>
      <w:r w:rsidRPr="002A1476">
        <w:rPr>
          <w:color w:val="000000" w:themeColor="text1"/>
          <w:sz w:val="22"/>
          <w:szCs w:val="22"/>
        </w:rPr>
        <w:t xml:space="preserve">Goldengate AI platform, various applications of </w:t>
      </w:r>
      <w:r>
        <w:rPr>
          <w:color w:val="000000" w:themeColor="text1"/>
          <w:sz w:val="22"/>
          <w:szCs w:val="22"/>
        </w:rPr>
        <w:t>our</w:t>
      </w:r>
      <w:r w:rsidRPr="002A1476">
        <w:rPr>
          <w:color w:val="000000" w:themeColor="text1"/>
          <w:sz w:val="22"/>
          <w:szCs w:val="22"/>
        </w:rPr>
        <w:t xml:space="preserve"> platforms, </w:t>
      </w:r>
      <w:r>
        <w:rPr>
          <w:color w:val="000000" w:themeColor="text1"/>
          <w:sz w:val="22"/>
          <w:szCs w:val="22"/>
        </w:rPr>
        <w:t>our</w:t>
      </w:r>
      <w:r w:rsidRPr="002A1476">
        <w:rPr>
          <w:color w:val="000000" w:themeColor="text1"/>
          <w:sz w:val="22"/>
          <w:szCs w:val="22"/>
        </w:rPr>
        <w:t xml:space="preserve"> proprietary data models and other intellectual property rights. </w:t>
      </w:r>
      <w:r>
        <w:rPr>
          <w:color w:val="000000" w:themeColor="text1"/>
          <w:sz w:val="22"/>
          <w:szCs w:val="22"/>
        </w:rPr>
        <w:t>We have</w:t>
      </w:r>
      <w:r w:rsidRPr="002A1476">
        <w:rPr>
          <w:color w:val="000000" w:themeColor="text1"/>
          <w:sz w:val="22"/>
          <w:szCs w:val="22"/>
        </w:rPr>
        <w:t xml:space="preserve"> a patent and several patent applications pending and believe that the duration of these patents is adequate relative to the expected lives of their applications. </w:t>
      </w:r>
      <w:r>
        <w:rPr>
          <w:color w:val="000000" w:themeColor="text1"/>
          <w:sz w:val="22"/>
          <w:szCs w:val="22"/>
        </w:rPr>
        <w:t>We</w:t>
      </w:r>
      <w:r w:rsidRPr="002A1476">
        <w:rPr>
          <w:color w:val="000000" w:themeColor="text1"/>
          <w:sz w:val="22"/>
          <w:szCs w:val="22"/>
        </w:rPr>
        <w:t xml:space="preserve"> rel</w:t>
      </w:r>
      <w:r>
        <w:rPr>
          <w:color w:val="000000" w:themeColor="text1"/>
          <w:sz w:val="22"/>
          <w:szCs w:val="22"/>
        </w:rPr>
        <w:t>y</w:t>
      </w:r>
      <w:r w:rsidRPr="002A1476">
        <w:rPr>
          <w:color w:val="000000" w:themeColor="text1"/>
          <w:sz w:val="22"/>
          <w:szCs w:val="22"/>
        </w:rPr>
        <w:t xml:space="preserve"> on a combination of trade secret, license, nondisclosure and other contractual agreements and copyright and trademark laws to protect </w:t>
      </w:r>
      <w:r>
        <w:rPr>
          <w:color w:val="000000" w:themeColor="text1"/>
          <w:sz w:val="22"/>
          <w:szCs w:val="22"/>
        </w:rPr>
        <w:t>our</w:t>
      </w:r>
      <w:r w:rsidRPr="002A1476">
        <w:rPr>
          <w:color w:val="000000" w:themeColor="text1"/>
          <w:sz w:val="22"/>
          <w:szCs w:val="22"/>
        </w:rPr>
        <w:t xml:space="preserve"> intellectual property rights. </w:t>
      </w:r>
    </w:p>
    <w:p w14:paraId="6402289F" w14:textId="77777777" w:rsidR="00363CED" w:rsidRPr="002A1476" w:rsidRDefault="00363CED" w:rsidP="00363CED">
      <w:pPr>
        <w:jc w:val="both"/>
        <w:rPr>
          <w:color w:val="000000" w:themeColor="text1"/>
          <w:sz w:val="22"/>
          <w:szCs w:val="22"/>
        </w:rPr>
      </w:pPr>
    </w:p>
    <w:p w14:paraId="41DD35D3" w14:textId="77777777" w:rsidR="00363CED" w:rsidRPr="002A1476" w:rsidRDefault="00363CED" w:rsidP="00363CED">
      <w:pPr>
        <w:spacing w:line="240" w:lineRule="atLeast"/>
        <w:ind w:firstLine="720"/>
        <w:jc w:val="both"/>
        <w:rPr>
          <w:color w:val="000000" w:themeColor="text1"/>
          <w:sz w:val="22"/>
          <w:szCs w:val="22"/>
        </w:rPr>
      </w:pPr>
      <w:r>
        <w:rPr>
          <w:color w:val="000000" w:themeColor="text1"/>
          <w:sz w:val="22"/>
          <w:szCs w:val="22"/>
        </w:rPr>
        <w:t>We</w:t>
      </w:r>
      <w:r w:rsidRPr="002A1476">
        <w:rPr>
          <w:color w:val="000000" w:themeColor="text1"/>
          <w:sz w:val="22"/>
          <w:szCs w:val="22"/>
        </w:rPr>
        <w:t xml:space="preserve"> enter into confidentiality agreements with </w:t>
      </w:r>
      <w:r>
        <w:rPr>
          <w:color w:val="000000" w:themeColor="text1"/>
          <w:sz w:val="22"/>
          <w:szCs w:val="22"/>
        </w:rPr>
        <w:t>our</w:t>
      </w:r>
      <w:r w:rsidRPr="002A1476">
        <w:rPr>
          <w:color w:val="000000" w:themeColor="text1"/>
          <w:sz w:val="22"/>
          <w:szCs w:val="22"/>
        </w:rPr>
        <w:t xml:space="preserve"> employees, contractors and customers, and limit access to and distribution of </w:t>
      </w:r>
      <w:r>
        <w:rPr>
          <w:color w:val="000000" w:themeColor="text1"/>
          <w:sz w:val="22"/>
          <w:szCs w:val="22"/>
        </w:rPr>
        <w:t>our</w:t>
      </w:r>
      <w:r w:rsidRPr="002A1476">
        <w:rPr>
          <w:color w:val="000000" w:themeColor="text1"/>
          <w:sz w:val="22"/>
          <w:szCs w:val="22"/>
        </w:rPr>
        <w:t xml:space="preserve"> proprietary information</w:t>
      </w:r>
      <w:r>
        <w:rPr>
          <w:color w:val="000000" w:themeColor="text1"/>
          <w:sz w:val="22"/>
          <w:szCs w:val="22"/>
        </w:rPr>
        <w:t xml:space="preserve"> and that of our customers</w:t>
      </w:r>
      <w:r w:rsidRPr="002A1476">
        <w:rPr>
          <w:color w:val="000000" w:themeColor="text1"/>
          <w:sz w:val="22"/>
          <w:szCs w:val="22"/>
        </w:rPr>
        <w:t xml:space="preserve">. </w:t>
      </w:r>
      <w:r>
        <w:rPr>
          <w:color w:val="000000" w:themeColor="text1"/>
          <w:sz w:val="22"/>
          <w:szCs w:val="22"/>
        </w:rPr>
        <w:t>We</w:t>
      </w:r>
      <w:r w:rsidRPr="002A1476">
        <w:rPr>
          <w:color w:val="000000" w:themeColor="text1"/>
          <w:sz w:val="22"/>
          <w:szCs w:val="22"/>
        </w:rPr>
        <w:t xml:space="preserve"> cannot assure that these arrangements will be adequate to deter misappropriation of </w:t>
      </w:r>
      <w:r>
        <w:rPr>
          <w:color w:val="000000" w:themeColor="text1"/>
          <w:sz w:val="22"/>
          <w:szCs w:val="22"/>
        </w:rPr>
        <w:t>our</w:t>
      </w:r>
      <w:r w:rsidRPr="002A1476">
        <w:rPr>
          <w:color w:val="000000" w:themeColor="text1"/>
          <w:sz w:val="22"/>
          <w:szCs w:val="22"/>
        </w:rPr>
        <w:t xml:space="preserve"> proprietary information or that </w:t>
      </w:r>
      <w:r>
        <w:rPr>
          <w:color w:val="000000" w:themeColor="text1"/>
          <w:sz w:val="22"/>
          <w:szCs w:val="22"/>
        </w:rPr>
        <w:t>we</w:t>
      </w:r>
      <w:r w:rsidRPr="002A1476">
        <w:rPr>
          <w:color w:val="000000" w:themeColor="text1"/>
          <w:sz w:val="22"/>
          <w:szCs w:val="22"/>
        </w:rPr>
        <w:t xml:space="preserve"> will be able to detect unauthorized use and take appropriate steps to enforce </w:t>
      </w:r>
      <w:r>
        <w:rPr>
          <w:color w:val="000000" w:themeColor="text1"/>
          <w:sz w:val="22"/>
          <w:szCs w:val="22"/>
        </w:rPr>
        <w:t>our</w:t>
      </w:r>
      <w:r w:rsidRPr="002A1476">
        <w:rPr>
          <w:color w:val="000000" w:themeColor="text1"/>
          <w:sz w:val="22"/>
          <w:szCs w:val="22"/>
        </w:rPr>
        <w:t xml:space="preserve"> intellectual property rights.</w:t>
      </w:r>
    </w:p>
    <w:p w14:paraId="5E66C63A" w14:textId="77777777" w:rsidR="00363CED" w:rsidRPr="002A1476" w:rsidRDefault="00363CED" w:rsidP="00363CED">
      <w:pPr>
        <w:pStyle w:val="NormalWeb"/>
        <w:spacing w:before="0" w:beforeAutospacing="0" w:after="0" w:afterAutospacing="0"/>
        <w:jc w:val="both"/>
        <w:rPr>
          <w:color w:val="000000" w:themeColor="text1"/>
          <w:sz w:val="22"/>
          <w:szCs w:val="22"/>
          <w:lang w:bidi="he-IL"/>
        </w:rPr>
      </w:pPr>
    </w:p>
    <w:p w14:paraId="27CF9276" w14:textId="77777777" w:rsidR="00363CED" w:rsidRPr="002A1476" w:rsidRDefault="00363CED" w:rsidP="00363CED">
      <w:pPr>
        <w:pStyle w:val="NormalWeb"/>
        <w:spacing w:before="0" w:beforeAutospacing="0" w:after="0" w:afterAutospacing="0"/>
        <w:jc w:val="both"/>
        <w:rPr>
          <w:b/>
          <w:color w:val="000000" w:themeColor="text1"/>
          <w:sz w:val="22"/>
          <w:szCs w:val="22"/>
        </w:rPr>
      </w:pPr>
      <w:r w:rsidRPr="002A1476">
        <w:rPr>
          <w:b/>
          <w:color w:val="000000" w:themeColor="text1"/>
          <w:sz w:val="22"/>
          <w:szCs w:val="22"/>
        </w:rPr>
        <w:t>Information Security</w:t>
      </w:r>
    </w:p>
    <w:p w14:paraId="61328837" w14:textId="77777777" w:rsidR="00363CED" w:rsidRPr="002A1476" w:rsidRDefault="00363CED" w:rsidP="00363CED">
      <w:pPr>
        <w:pStyle w:val="NormalWeb"/>
        <w:spacing w:before="0" w:beforeAutospacing="0" w:after="0" w:afterAutospacing="0"/>
        <w:jc w:val="both"/>
        <w:rPr>
          <w:b/>
          <w:color w:val="000000" w:themeColor="text1"/>
          <w:sz w:val="22"/>
          <w:szCs w:val="22"/>
        </w:rPr>
      </w:pPr>
    </w:p>
    <w:p w14:paraId="6AA08D87"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 xml:space="preserve">Our operations facilities in Asia and our data centers are certified to information security management standard - ISO27001:2013. We have deployed multi-layered security consisting of a wide range of security controls and measures such as two-factor authentication, patch management, full disk encryption system, anti-virus with firewall and IDS/IPS capability, redundant next generation firewalls with intrusion detection and prevention feature sets, and we utilize appropriately certified cloud resources. When we are processing personally identifiable information covered by HIPAA, we utilize U.S.-based, co-located data centers or HIPAA compliant cloud computing services with advanced data encryption (AES 256 or comparable) applied to data at rest and in motion. </w:t>
      </w:r>
    </w:p>
    <w:p w14:paraId="2C62754C" w14:textId="77777777" w:rsidR="00363CED" w:rsidRPr="002A1476" w:rsidRDefault="00363CED" w:rsidP="00363CED">
      <w:pPr>
        <w:ind w:firstLine="720"/>
        <w:jc w:val="both"/>
        <w:rPr>
          <w:color w:val="000000" w:themeColor="text1"/>
          <w:sz w:val="22"/>
          <w:szCs w:val="22"/>
        </w:rPr>
      </w:pPr>
    </w:p>
    <w:p w14:paraId="583AA4BF" w14:textId="77777777" w:rsidR="00363CED" w:rsidRPr="002A1476" w:rsidRDefault="00363CED" w:rsidP="00363CED">
      <w:pPr>
        <w:pStyle w:val="NormalWeb"/>
        <w:spacing w:before="0" w:beforeAutospacing="0" w:after="0" w:afterAutospacing="0"/>
        <w:jc w:val="both"/>
        <w:rPr>
          <w:b/>
          <w:color w:val="000000" w:themeColor="text1"/>
          <w:sz w:val="22"/>
          <w:szCs w:val="22"/>
        </w:rPr>
      </w:pPr>
      <w:r w:rsidRPr="002A1476">
        <w:rPr>
          <w:b/>
          <w:color w:val="000000" w:themeColor="text1"/>
          <w:sz w:val="22"/>
          <w:szCs w:val="22"/>
        </w:rPr>
        <w:t>Government Regulation</w:t>
      </w:r>
    </w:p>
    <w:p w14:paraId="5CCF1FCE" w14:textId="77777777" w:rsidR="00363CED" w:rsidRPr="002A1476" w:rsidRDefault="00363CED" w:rsidP="00363CED">
      <w:pPr>
        <w:pStyle w:val="NormalWeb"/>
        <w:spacing w:before="0" w:beforeAutospacing="0" w:after="0" w:afterAutospacing="0"/>
        <w:jc w:val="both"/>
        <w:rPr>
          <w:b/>
          <w:color w:val="000000" w:themeColor="text1"/>
          <w:sz w:val="22"/>
          <w:szCs w:val="22"/>
        </w:rPr>
      </w:pPr>
    </w:p>
    <w:p w14:paraId="11041BAC"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We are subject to a number of U.S. federal and state and foreign laws and regulations that relate to our business, including those governing privacy and data protection. We comply with the requirements of the United States Health Insurance Portability and Accountability Act of 1996 as amended (including by the Health Information Technology for Economic and Clinical Health Data (HITECH)) (HIPAA), the United Kingdom’s General Data Protection Regulation as tailored by the Data Protection Act 2018, the EU General Data Protection Regulation, and local laws regulating data privacy, as applicable.</w:t>
      </w:r>
    </w:p>
    <w:p w14:paraId="65A6564C" w14:textId="77777777" w:rsidR="00363CED" w:rsidRPr="002A1476" w:rsidRDefault="00363CED" w:rsidP="00363CED">
      <w:pPr>
        <w:ind w:firstLine="720"/>
        <w:jc w:val="both"/>
        <w:rPr>
          <w:color w:val="000000" w:themeColor="text1"/>
          <w:sz w:val="22"/>
          <w:szCs w:val="22"/>
        </w:rPr>
      </w:pPr>
    </w:p>
    <w:p w14:paraId="39498005" w14:textId="77777777" w:rsidR="00363CED" w:rsidRPr="002A1476" w:rsidRDefault="00363CED" w:rsidP="00363CED">
      <w:pPr>
        <w:pStyle w:val="NormalWeb"/>
        <w:spacing w:before="0" w:beforeAutospacing="0" w:after="0" w:afterAutospacing="0"/>
        <w:jc w:val="both"/>
        <w:rPr>
          <w:b/>
          <w:color w:val="000000" w:themeColor="text1"/>
          <w:sz w:val="22"/>
          <w:szCs w:val="22"/>
        </w:rPr>
      </w:pPr>
      <w:r w:rsidRPr="002A1476">
        <w:rPr>
          <w:b/>
          <w:color w:val="000000" w:themeColor="text1"/>
          <w:sz w:val="22"/>
          <w:szCs w:val="22"/>
        </w:rPr>
        <w:t>Research and Development</w:t>
      </w:r>
    </w:p>
    <w:p w14:paraId="53C1148F" w14:textId="77777777" w:rsidR="00363CED" w:rsidRPr="002A1476" w:rsidRDefault="00363CED" w:rsidP="00363CED">
      <w:pPr>
        <w:pStyle w:val="NormalWeb"/>
        <w:spacing w:before="0" w:beforeAutospacing="0" w:after="0" w:afterAutospacing="0"/>
        <w:jc w:val="both"/>
        <w:rPr>
          <w:b/>
          <w:color w:val="000000" w:themeColor="text1"/>
          <w:sz w:val="22"/>
          <w:szCs w:val="22"/>
        </w:rPr>
      </w:pPr>
    </w:p>
    <w:p w14:paraId="313E9C80" w14:textId="77777777" w:rsidR="00363CED" w:rsidRPr="002A1476" w:rsidRDefault="00363CED" w:rsidP="00363CED">
      <w:pPr>
        <w:tabs>
          <w:tab w:val="left" w:pos="720"/>
        </w:tabs>
        <w:jc w:val="both"/>
        <w:rPr>
          <w:color w:val="000000" w:themeColor="text1"/>
          <w:sz w:val="22"/>
          <w:szCs w:val="22"/>
        </w:rPr>
      </w:pPr>
      <w:r w:rsidRPr="002A1476">
        <w:rPr>
          <w:color w:val="000000" w:themeColor="text1"/>
          <w:sz w:val="22"/>
          <w:szCs w:val="22"/>
        </w:rPr>
        <w:t> </w:t>
      </w:r>
      <w:r w:rsidRPr="002A1476">
        <w:rPr>
          <w:color w:val="000000" w:themeColor="text1"/>
          <w:sz w:val="22"/>
          <w:szCs w:val="22"/>
        </w:rPr>
        <w:tab/>
        <w:t>Our Innodata Labs researches and develops AI-based technologies that we utilize in our operations and with our customers. The Innodata Labs team is comprised of data scientists, including data scientists who have published leading papers on discrete topics in data science and have earned PhD degrees in fields such as data entity extraction.</w:t>
      </w:r>
    </w:p>
    <w:p w14:paraId="4A069937" w14:textId="77777777" w:rsidR="00363CED" w:rsidRPr="002A1476" w:rsidRDefault="00363CED" w:rsidP="00363CED">
      <w:pPr>
        <w:tabs>
          <w:tab w:val="left" w:pos="720"/>
        </w:tabs>
        <w:jc w:val="both"/>
        <w:rPr>
          <w:color w:val="000000" w:themeColor="text1"/>
          <w:sz w:val="22"/>
          <w:szCs w:val="22"/>
        </w:rPr>
      </w:pPr>
    </w:p>
    <w:p w14:paraId="7A30AE17" w14:textId="77777777" w:rsidR="00363CED" w:rsidRPr="002A1476" w:rsidRDefault="00363CED" w:rsidP="00363CED">
      <w:pPr>
        <w:tabs>
          <w:tab w:val="left" w:pos="720"/>
        </w:tabs>
        <w:jc w:val="both"/>
        <w:rPr>
          <w:color w:val="000000" w:themeColor="text1"/>
          <w:sz w:val="22"/>
          <w:szCs w:val="22"/>
        </w:rPr>
      </w:pPr>
      <w:r w:rsidRPr="002A1476">
        <w:rPr>
          <w:color w:val="000000" w:themeColor="text1"/>
          <w:sz w:val="22"/>
          <w:szCs w:val="22"/>
        </w:rPr>
        <w:tab/>
        <w:t>Our product engineering teams also engage in research and development efforts focused on enhancing the functionality and utility of our AI industry platforms, addressing new use cases and developing additional innovative technologies. Timely development of new functionality to support existing and new use cases is essential to maintaining our competitive position, and we release new versions of our software on a regular basis.</w:t>
      </w:r>
    </w:p>
    <w:p w14:paraId="3893A3C3" w14:textId="77777777" w:rsidR="00363CED" w:rsidRPr="002A1476" w:rsidRDefault="00363CED" w:rsidP="00363CED">
      <w:pPr>
        <w:tabs>
          <w:tab w:val="left" w:pos="720"/>
        </w:tabs>
        <w:jc w:val="both"/>
        <w:rPr>
          <w:color w:val="000000" w:themeColor="text1"/>
          <w:sz w:val="22"/>
          <w:szCs w:val="22"/>
        </w:rPr>
      </w:pPr>
    </w:p>
    <w:p w14:paraId="12FE4FFA" w14:textId="77777777" w:rsidR="00363CED" w:rsidRPr="002A1476" w:rsidRDefault="00363CED" w:rsidP="00363CED">
      <w:pPr>
        <w:tabs>
          <w:tab w:val="left" w:pos="720"/>
        </w:tabs>
        <w:jc w:val="both"/>
        <w:rPr>
          <w:color w:val="000000" w:themeColor="text1"/>
          <w:sz w:val="22"/>
          <w:szCs w:val="22"/>
        </w:rPr>
      </w:pPr>
      <w:r w:rsidRPr="002A1476">
        <w:rPr>
          <w:color w:val="000000" w:themeColor="text1"/>
          <w:sz w:val="22"/>
          <w:szCs w:val="22"/>
        </w:rPr>
        <w:lastRenderedPageBreak/>
        <w:tab/>
        <w:t xml:space="preserve">Customer feedback enables us to ensure that we stay aligned to our customers’ priorities and that we stay ahead of market needs. Our </w:t>
      </w:r>
      <w:r>
        <w:rPr>
          <w:color w:val="000000" w:themeColor="text1"/>
          <w:sz w:val="22"/>
          <w:szCs w:val="22"/>
        </w:rPr>
        <w:t>culture</w:t>
      </w:r>
      <w:r w:rsidRPr="002A1476">
        <w:rPr>
          <w:color w:val="000000" w:themeColor="text1"/>
          <w:sz w:val="22"/>
          <w:szCs w:val="22"/>
        </w:rPr>
        <w:t xml:space="preserve"> of innovation helps us attract and retain a highly motivated and talented team of AI experts and technologists. Our research and development center spans several geographical locations across North America and Asia-Pacific.</w:t>
      </w:r>
    </w:p>
    <w:p w14:paraId="414EDF05" w14:textId="77777777" w:rsidR="00363CED" w:rsidRPr="002A1476" w:rsidRDefault="00363CED" w:rsidP="00363CED">
      <w:pPr>
        <w:tabs>
          <w:tab w:val="left" w:pos="720"/>
        </w:tabs>
        <w:jc w:val="both"/>
        <w:rPr>
          <w:color w:val="000000" w:themeColor="text1"/>
          <w:sz w:val="22"/>
          <w:szCs w:val="22"/>
        </w:rPr>
      </w:pPr>
    </w:p>
    <w:p w14:paraId="09CE9B4F" w14:textId="77777777" w:rsidR="00363CED" w:rsidRPr="002A1476" w:rsidRDefault="00363CED" w:rsidP="00363CED">
      <w:pPr>
        <w:tabs>
          <w:tab w:val="left" w:pos="720"/>
        </w:tabs>
        <w:jc w:val="both"/>
        <w:rPr>
          <w:color w:val="000000" w:themeColor="text1"/>
          <w:sz w:val="22"/>
          <w:szCs w:val="22"/>
        </w:rPr>
      </w:pPr>
      <w:r w:rsidRPr="002A1476">
        <w:rPr>
          <w:color w:val="000000" w:themeColor="text1"/>
          <w:sz w:val="22"/>
          <w:szCs w:val="22"/>
        </w:rPr>
        <w:tab/>
        <w:t xml:space="preserve">In mid-2022, we formed an Advisory Board dedicated to helping drive growth through innovation initiatives and advancing dialogue related to ethical AI and the future of AI technologies. The advisory board is currently comprised by a Chief Data Officer for Microsoft and the </w:t>
      </w:r>
      <w:r>
        <w:rPr>
          <w:color w:val="000000" w:themeColor="text1"/>
          <w:sz w:val="22"/>
          <w:szCs w:val="22"/>
        </w:rPr>
        <w:t>director</w:t>
      </w:r>
      <w:r w:rsidRPr="002A1476">
        <w:rPr>
          <w:color w:val="000000" w:themeColor="text1"/>
          <w:sz w:val="22"/>
          <w:szCs w:val="22"/>
        </w:rPr>
        <w:t xml:space="preserve"> of University of Mich</w:t>
      </w:r>
      <w:r>
        <w:rPr>
          <w:color w:val="000000" w:themeColor="text1"/>
          <w:sz w:val="22"/>
          <w:szCs w:val="22"/>
        </w:rPr>
        <w:t>i</w:t>
      </w:r>
      <w:r w:rsidRPr="002A1476">
        <w:rPr>
          <w:color w:val="000000" w:themeColor="text1"/>
          <w:sz w:val="22"/>
          <w:szCs w:val="22"/>
        </w:rPr>
        <w:t>gan’s Artificial Intelligence Laboratory.</w:t>
      </w:r>
      <w:r>
        <w:rPr>
          <w:color w:val="000000" w:themeColor="text1"/>
          <w:sz w:val="22"/>
          <w:szCs w:val="22"/>
        </w:rPr>
        <w:t xml:space="preserve"> We are presently seeking additional members.</w:t>
      </w:r>
    </w:p>
    <w:p w14:paraId="5628ED08" w14:textId="77777777" w:rsidR="00363CED" w:rsidRPr="002A1476" w:rsidRDefault="00363CED" w:rsidP="00363CED">
      <w:pPr>
        <w:tabs>
          <w:tab w:val="left" w:pos="720"/>
        </w:tabs>
        <w:jc w:val="both"/>
        <w:rPr>
          <w:color w:val="000000" w:themeColor="text1"/>
          <w:sz w:val="22"/>
          <w:szCs w:val="22"/>
        </w:rPr>
      </w:pPr>
    </w:p>
    <w:p w14:paraId="7B1A22BF" w14:textId="77777777" w:rsidR="00363CED" w:rsidRPr="002A1476" w:rsidRDefault="00363CED" w:rsidP="00363CED">
      <w:pPr>
        <w:tabs>
          <w:tab w:val="left" w:pos="720"/>
        </w:tabs>
        <w:jc w:val="both"/>
        <w:rPr>
          <w:b/>
          <w:bCs/>
          <w:color w:val="000000" w:themeColor="text1"/>
          <w:sz w:val="22"/>
          <w:szCs w:val="22"/>
        </w:rPr>
      </w:pPr>
      <w:r w:rsidRPr="002A1476">
        <w:rPr>
          <w:b/>
          <w:bCs/>
          <w:color w:val="000000" w:themeColor="text1"/>
          <w:sz w:val="22"/>
          <w:szCs w:val="22"/>
        </w:rPr>
        <w:t>Environmental, Social, and Governance</w:t>
      </w:r>
    </w:p>
    <w:p w14:paraId="34B3E73C" w14:textId="77777777" w:rsidR="00363CED" w:rsidRPr="002A1476" w:rsidRDefault="00363CED" w:rsidP="00363CED">
      <w:pPr>
        <w:rPr>
          <w:color w:val="000000" w:themeColor="text1"/>
          <w:sz w:val="22"/>
          <w:szCs w:val="22"/>
        </w:rPr>
      </w:pPr>
    </w:p>
    <w:p w14:paraId="74BAA75C" w14:textId="77777777" w:rsidR="00363CED" w:rsidRPr="002A1476" w:rsidRDefault="00363CED" w:rsidP="00363CED">
      <w:pPr>
        <w:jc w:val="both"/>
        <w:rPr>
          <w:color w:val="000000" w:themeColor="text1"/>
          <w:sz w:val="22"/>
          <w:szCs w:val="22"/>
        </w:rPr>
      </w:pPr>
      <w:r w:rsidRPr="002A1476">
        <w:rPr>
          <w:color w:val="000000" w:themeColor="text1"/>
          <w:sz w:val="22"/>
          <w:szCs w:val="22"/>
        </w:rPr>
        <w:tab/>
        <w:t xml:space="preserve">We have built a robust corporate </w:t>
      </w:r>
      <w:r>
        <w:rPr>
          <w:color w:val="000000" w:themeColor="text1"/>
          <w:sz w:val="22"/>
          <w:szCs w:val="22"/>
        </w:rPr>
        <w:t>ESG</w:t>
      </w:r>
      <w:r w:rsidRPr="002A1476">
        <w:rPr>
          <w:color w:val="000000" w:themeColor="text1"/>
          <w:sz w:val="22"/>
          <w:szCs w:val="22"/>
        </w:rPr>
        <w:t xml:space="preserve"> program focused on </w:t>
      </w:r>
      <w:r>
        <w:rPr>
          <w:color w:val="000000" w:themeColor="text1"/>
          <w:sz w:val="22"/>
          <w:szCs w:val="22"/>
        </w:rPr>
        <w:t xml:space="preserve">social responsibility; </w:t>
      </w:r>
      <w:r w:rsidRPr="002A1476">
        <w:rPr>
          <w:color w:val="000000" w:themeColor="text1"/>
          <w:sz w:val="22"/>
          <w:szCs w:val="22"/>
        </w:rPr>
        <w:t xml:space="preserve">improving how we perform as a steward of </w:t>
      </w:r>
      <w:r>
        <w:rPr>
          <w:color w:val="000000" w:themeColor="text1"/>
          <w:sz w:val="22"/>
          <w:szCs w:val="22"/>
        </w:rPr>
        <w:t>the environment; and sustainability</w:t>
      </w:r>
      <w:r w:rsidRPr="002A1476">
        <w:rPr>
          <w:color w:val="000000" w:themeColor="text1"/>
          <w:sz w:val="22"/>
          <w:szCs w:val="22"/>
        </w:rPr>
        <w:t>.</w:t>
      </w:r>
    </w:p>
    <w:p w14:paraId="37B367F6" w14:textId="77777777" w:rsidR="00363CED" w:rsidRPr="002A1476" w:rsidRDefault="00363CED" w:rsidP="00363CED">
      <w:pPr>
        <w:jc w:val="both"/>
        <w:rPr>
          <w:color w:val="000000" w:themeColor="text1"/>
          <w:sz w:val="22"/>
          <w:szCs w:val="22"/>
        </w:rPr>
      </w:pPr>
    </w:p>
    <w:p w14:paraId="78A825CD" w14:textId="77777777" w:rsidR="00363CED" w:rsidRPr="002A1476" w:rsidRDefault="00363CED" w:rsidP="00363CED">
      <w:pPr>
        <w:jc w:val="both"/>
        <w:rPr>
          <w:i/>
          <w:iCs/>
          <w:color w:val="000000" w:themeColor="text1"/>
          <w:sz w:val="22"/>
          <w:szCs w:val="22"/>
        </w:rPr>
      </w:pPr>
      <w:r w:rsidRPr="002A1476">
        <w:rPr>
          <w:color w:val="000000" w:themeColor="text1"/>
          <w:sz w:val="22"/>
          <w:szCs w:val="22"/>
        </w:rPr>
        <w:tab/>
      </w:r>
      <w:r w:rsidRPr="002A1476">
        <w:rPr>
          <w:i/>
          <w:iCs/>
          <w:color w:val="000000" w:themeColor="text1"/>
          <w:sz w:val="22"/>
          <w:szCs w:val="22"/>
        </w:rPr>
        <w:t>Social Responsibility</w:t>
      </w:r>
    </w:p>
    <w:p w14:paraId="65BF16B7" w14:textId="77777777" w:rsidR="00363CED" w:rsidRPr="002A1476" w:rsidRDefault="00363CED" w:rsidP="00363CED">
      <w:pPr>
        <w:jc w:val="both"/>
        <w:rPr>
          <w:color w:val="000000" w:themeColor="text1"/>
          <w:sz w:val="22"/>
          <w:szCs w:val="22"/>
        </w:rPr>
      </w:pPr>
    </w:p>
    <w:p w14:paraId="6ED76463" w14:textId="77777777" w:rsidR="00363CED" w:rsidRPr="002A1476" w:rsidRDefault="00363CED" w:rsidP="00363CED">
      <w:pPr>
        <w:ind w:firstLine="720"/>
        <w:jc w:val="both"/>
        <w:rPr>
          <w:color w:val="000000" w:themeColor="text1"/>
          <w:sz w:val="22"/>
          <w:szCs w:val="22"/>
        </w:rPr>
      </w:pPr>
      <w:r w:rsidRPr="002A1476">
        <w:rPr>
          <w:color w:val="000000" w:themeColor="text1"/>
          <w:sz w:val="22"/>
          <w:szCs w:val="22"/>
        </w:rPr>
        <w:t xml:space="preserve">We are driven by the vision of ushering in </w:t>
      </w:r>
      <w:r>
        <w:rPr>
          <w:color w:val="000000" w:themeColor="text1"/>
          <w:sz w:val="22"/>
          <w:szCs w:val="22"/>
        </w:rPr>
        <w:t xml:space="preserve">an era of </w:t>
      </w:r>
      <w:r w:rsidRPr="00671A30">
        <w:rPr>
          <w:color w:val="000000" w:themeColor="text1"/>
          <w:sz w:val="22"/>
          <w:szCs w:val="22"/>
        </w:rPr>
        <w:t>broadly distributed</w:t>
      </w:r>
      <w:r>
        <w:rPr>
          <w:color w:val="000000" w:themeColor="text1"/>
          <w:sz w:val="22"/>
          <w:szCs w:val="22"/>
        </w:rPr>
        <w:t>,</w:t>
      </w:r>
      <w:r w:rsidRPr="00671A30">
        <w:rPr>
          <w:color w:val="000000" w:themeColor="text1"/>
          <w:sz w:val="22"/>
          <w:szCs w:val="22"/>
        </w:rPr>
        <w:t xml:space="preserve"> </w:t>
      </w:r>
      <w:r w:rsidRPr="00E91656">
        <w:rPr>
          <w:color w:val="000000" w:themeColor="text1"/>
          <w:sz w:val="22"/>
          <w:szCs w:val="22"/>
        </w:rPr>
        <w:t xml:space="preserve">sustainable prosperity </w:t>
      </w:r>
      <w:r>
        <w:rPr>
          <w:color w:val="000000" w:themeColor="text1"/>
          <w:sz w:val="22"/>
          <w:szCs w:val="22"/>
        </w:rPr>
        <w:t>that can result from ethical</w:t>
      </w:r>
      <w:r w:rsidRPr="002A1476">
        <w:rPr>
          <w:color w:val="000000" w:themeColor="text1"/>
          <w:sz w:val="22"/>
          <w:szCs w:val="22"/>
        </w:rPr>
        <w:t xml:space="preserve"> AI</w:t>
      </w:r>
      <w:r>
        <w:rPr>
          <w:color w:val="000000" w:themeColor="text1"/>
          <w:sz w:val="22"/>
          <w:szCs w:val="22"/>
        </w:rPr>
        <w:t xml:space="preserve"> and broad access to the benefits of AI</w:t>
      </w:r>
      <w:r w:rsidRPr="002A1476">
        <w:rPr>
          <w:color w:val="000000" w:themeColor="text1"/>
          <w:sz w:val="22"/>
          <w:szCs w:val="22"/>
        </w:rPr>
        <w:t>. We have two programs underway designed to help ensure a future level playing field for marginalized or economically-disadv</w:t>
      </w:r>
      <w:r>
        <w:rPr>
          <w:color w:val="000000" w:themeColor="text1"/>
          <w:sz w:val="22"/>
          <w:szCs w:val="22"/>
        </w:rPr>
        <w:t>antaged</w:t>
      </w:r>
      <w:r w:rsidRPr="002A1476">
        <w:rPr>
          <w:color w:val="000000" w:themeColor="text1"/>
          <w:sz w:val="22"/>
          <w:szCs w:val="22"/>
        </w:rPr>
        <w:t xml:space="preserve"> communities that might otherwise </w:t>
      </w:r>
      <w:r>
        <w:rPr>
          <w:color w:val="000000" w:themeColor="text1"/>
          <w:sz w:val="22"/>
          <w:szCs w:val="22"/>
        </w:rPr>
        <w:t>be at a disadvantage in an increasingly AI-driven world</w:t>
      </w:r>
      <w:r w:rsidRPr="002A1476">
        <w:rPr>
          <w:color w:val="000000" w:themeColor="text1"/>
          <w:sz w:val="22"/>
          <w:szCs w:val="22"/>
        </w:rPr>
        <w:t>.</w:t>
      </w:r>
    </w:p>
    <w:p w14:paraId="5833181C" w14:textId="77777777" w:rsidR="00363CED" w:rsidRPr="002A1476" w:rsidRDefault="00363CED" w:rsidP="00363CED">
      <w:pPr>
        <w:jc w:val="both"/>
        <w:rPr>
          <w:color w:val="000000" w:themeColor="text1"/>
          <w:sz w:val="22"/>
          <w:szCs w:val="22"/>
        </w:rPr>
      </w:pPr>
    </w:p>
    <w:p w14:paraId="3B30C49C" w14:textId="77777777" w:rsidR="00363CED" w:rsidRPr="002A1476" w:rsidRDefault="00363CED" w:rsidP="00363CED">
      <w:pPr>
        <w:jc w:val="both"/>
        <w:rPr>
          <w:rStyle w:val="contentpasted0"/>
          <w:color w:val="000000" w:themeColor="text1"/>
          <w:sz w:val="22"/>
          <w:szCs w:val="22"/>
          <w:shd w:val="clear" w:color="auto" w:fill="FFFFFF"/>
        </w:rPr>
      </w:pPr>
      <w:r w:rsidRPr="002A1476">
        <w:rPr>
          <w:color w:val="000000" w:themeColor="text1"/>
          <w:sz w:val="22"/>
          <w:szCs w:val="22"/>
        </w:rPr>
        <w:tab/>
        <w:t xml:space="preserve">The first of these </w:t>
      </w:r>
      <w:r>
        <w:rPr>
          <w:color w:val="000000" w:themeColor="text1"/>
          <w:sz w:val="22"/>
          <w:szCs w:val="22"/>
        </w:rPr>
        <w:t xml:space="preserve">programs </w:t>
      </w:r>
      <w:r w:rsidRPr="002A1476">
        <w:rPr>
          <w:color w:val="000000" w:themeColor="text1"/>
          <w:sz w:val="22"/>
          <w:szCs w:val="22"/>
        </w:rPr>
        <w:t xml:space="preserve">is </w:t>
      </w:r>
      <w:r>
        <w:rPr>
          <w:color w:val="000000" w:themeColor="text1"/>
          <w:sz w:val="22"/>
          <w:szCs w:val="22"/>
        </w:rPr>
        <w:t>our</w:t>
      </w:r>
      <w:r w:rsidRPr="002A1476">
        <w:rPr>
          <w:color w:val="000000" w:themeColor="text1"/>
          <w:sz w:val="22"/>
          <w:szCs w:val="22"/>
        </w:rPr>
        <w:t xml:space="preserve"> i-Hope Prog</w:t>
      </w:r>
      <w:r>
        <w:rPr>
          <w:color w:val="000000" w:themeColor="text1"/>
          <w:sz w:val="22"/>
          <w:szCs w:val="22"/>
        </w:rPr>
        <w:t>r</w:t>
      </w:r>
      <w:r w:rsidRPr="002A1476">
        <w:rPr>
          <w:color w:val="000000" w:themeColor="text1"/>
          <w:sz w:val="22"/>
          <w:szCs w:val="22"/>
        </w:rPr>
        <w:t xml:space="preserve">am. The aim of our i-Hope Program is to provide the gift of computer literacy to 25,000 children by </w:t>
      </w:r>
      <w:r w:rsidRPr="002A1476">
        <w:rPr>
          <w:rStyle w:val="contentpasted0"/>
          <w:color w:val="000000" w:themeColor="text1"/>
          <w:sz w:val="22"/>
          <w:szCs w:val="22"/>
          <w:shd w:val="clear" w:color="auto" w:fill="FFFFFF"/>
        </w:rPr>
        <w:t>2025. From 2016 to 2022, our employees contributed over 2,300 person days to the program, building</w:t>
      </w:r>
      <w:r>
        <w:rPr>
          <w:rStyle w:val="contentpasted0"/>
          <w:color w:val="000000" w:themeColor="text1"/>
          <w:sz w:val="22"/>
          <w:szCs w:val="22"/>
          <w:shd w:val="clear" w:color="auto" w:fill="FFFFFF"/>
        </w:rPr>
        <w:t xml:space="preserve"> </w:t>
      </w:r>
      <w:r w:rsidRPr="002A1476">
        <w:rPr>
          <w:rStyle w:val="contentpasted0"/>
          <w:color w:val="000000" w:themeColor="text1"/>
          <w:sz w:val="22"/>
          <w:szCs w:val="22"/>
          <w:shd w:val="clear" w:color="auto" w:fill="FFFFFF"/>
        </w:rPr>
        <w:t xml:space="preserve">17 fully-functional computer labs and smart classrooms across India, the Philippines, and Sri Lanka. As a result, we believe approximately 10,300 children in these communities are now more technology proficient and better prepared to participate in </w:t>
      </w:r>
      <w:r>
        <w:rPr>
          <w:rStyle w:val="contentpasted0"/>
          <w:color w:val="000000" w:themeColor="text1"/>
          <w:sz w:val="22"/>
          <w:szCs w:val="22"/>
          <w:shd w:val="clear" w:color="auto" w:fill="FFFFFF"/>
        </w:rPr>
        <w:t>opportunities that AI presents</w:t>
      </w:r>
      <w:r w:rsidRPr="002A1476">
        <w:rPr>
          <w:rStyle w:val="contentpasted0"/>
          <w:color w:val="000000" w:themeColor="text1"/>
          <w:sz w:val="22"/>
          <w:szCs w:val="22"/>
          <w:shd w:val="clear" w:color="auto" w:fill="FFFFFF"/>
        </w:rPr>
        <w:t>. Our efforts have been well-recognized. In 2022, we (through our operating subsidiaries) received</w:t>
      </w:r>
      <w:r w:rsidRPr="002A1476">
        <w:rPr>
          <w:rStyle w:val="apple-converted-space"/>
          <w:color w:val="000000" w:themeColor="text1"/>
          <w:sz w:val="22"/>
          <w:szCs w:val="22"/>
          <w:shd w:val="clear" w:color="auto" w:fill="FFFFFF"/>
        </w:rPr>
        <w:t xml:space="preserve"> the 2022 </w:t>
      </w:r>
      <w:r w:rsidRPr="002A1476">
        <w:rPr>
          <w:rStyle w:val="contentpasted0"/>
          <w:color w:val="000000" w:themeColor="text1"/>
          <w:sz w:val="22"/>
          <w:szCs w:val="22"/>
          <w:shd w:val="clear" w:color="auto" w:fill="FFFFFF"/>
        </w:rPr>
        <w:t>CSR Company of the Year Excellence Award</w:t>
      </w:r>
      <w:r w:rsidRPr="002A1476">
        <w:rPr>
          <w:rStyle w:val="apple-converted-space"/>
          <w:color w:val="000000" w:themeColor="text1"/>
          <w:sz w:val="22"/>
          <w:szCs w:val="22"/>
          <w:shd w:val="clear" w:color="auto" w:fill="FFFFFF"/>
        </w:rPr>
        <w:t> </w:t>
      </w:r>
      <w:r w:rsidRPr="002A1476">
        <w:rPr>
          <w:rStyle w:val="contentpasted0"/>
          <w:color w:val="000000" w:themeColor="text1"/>
          <w:sz w:val="22"/>
          <w:szCs w:val="22"/>
          <w:shd w:val="clear" w:color="auto" w:fill="FFFFFF"/>
        </w:rPr>
        <w:t xml:space="preserve">at the Asia CEO Awards-2022 and the 2021 Salamat Po Award from the Philippines </w:t>
      </w:r>
      <w:r w:rsidRPr="002A1476">
        <w:rPr>
          <w:color w:val="000000" w:themeColor="text1"/>
          <w:sz w:val="22"/>
          <w:szCs w:val="22"/>
        </w:rPr>
        <w:t>Department of Social Welfare &amp; Development</w:t>
      </w:r>
      <w:r w:rsidRPr="002A1476">
        <w:rPr>
          <w:rStyle w:val="contentpasted0"/>
          <w:color w:val="000000" w:themeColor="text1"/>
          <w:sz w:val="22"/>
          <w:szCs w:val="22"/>
          <w:shd w:val="clear" w:color="auto" w:fill="FFFFFF"/>
        </w:rPr>
        <w:t>.</w:t>
      </w:r>
    </w:p>
    <w:p w14:paraId="58F377BA" w14:textId="77777777" w:rsidR="00363CED" w:rsidRPr="002A1476" w:rsidRDefault="00363CED" w:rsidP="00363CED">
      <w:pPr>
        <w:jc w:val="both"/>
        <w:rPr>
          <w:rStyle w:val="contentpasted0"/>
          <w:color w:val="000000" w:themeColor="text1"/>
          <w:sz w:val="22"/>
          <w:szCs w:val="22"/>
          <w:shd w:val="clear" w:color="auto" w:fill="FFFFFF"/>
        </w:rPr>
      </w:pPr>
    </w:p>
    <w:p w14:paraId="0F44F95C" w14:textId="77777777" w:rsidR="00363CED" w:rsidRDefault="00363CED" w:rsidP="00363CED">
      <w:pPr>
        <w:ind w:firstLine="720"/>
        <w:jc w:val="both"/>
        <w:rPr>
          <w:rStyle w:val="contentpasted0"/>
          <w:color w:val="000000" w:themeColor="text1"/>
          <w:sz w:val="22"/>
          <w:szCs w:val="22"/>
          <w:shd w:val="clear" w:color="auto" w:fill="FFFFFF"/>
        </w:rPr>
      </w:pPr>
      <w:r w:rsidRPr="002A1476">
        <w:rPr>
          <w:rStyle w:val="contentpasted0"/>
          <w:color w:val="000000" w:themeColor="text1"/>
          <w:sz w:val="22"/>
          <w:szCs w:val="22"/>
          <w:shd w:val="clear" w:color="auto" w:fill="FFFFFF"/>
        </w:rPr>
        <w:t xml:space="preserve">The second program is </w:t>
      </w:r>
      <w:r>
        <w:rPr>
          <w:rStyle w:val="contentpasted0"/>
          <w:color w:val="000000" w:themeColor="text1"/>
          <w:sz w:val="22"/>
          <w:szCs w:val="22"/>
          <w:shd w:val="clear" w:color="auto" w:fill="FFFFFF"/>
        </w:rPr>
        <w:t>our</w:t>
      </w:r>
      <w:r w:rsidRPr="002A1476">
        <w:rPr>
          <w:rStyle w:val="contentpasted0"/>
          <w:color w:val="000000" w:themeColor="text1"/>
          <w:sz w:val="22"/>
          <w:szCs w:val="22"/>
          <w:shd w:val="clear" w:color="auto" w:fill="FFFFFF"/>
        </w:rPr>
        <w:t xml:space="preserve"> i-</w:t>
      </w:r>
      <w:r>
        <w:rPr>
          <w:rStyle w:val="contentpasted0"/>
          <w:color w:val="000000" w:themeColor="text1"/>
          <w:sz w:val="22"/>
          <w:szCs w:val="22"/>
          <w:shd w:val="clear" w:color="auto" w:fill="FFFFFF"/>
        </w:rPr>
        <w:t>Matter</w:t>
      </w:r>
      <w:r w:rsidRPr="002A1476">
        <w:rPr>
          <w:rStyle w:val="contentpasted0"/>
          <w:color w:val="000000" w:themeColor="text1"/>
          <w:sz w:val="22"/>
          <w:szCs w:val="22"/>
          <w:shd w:val="clear" w:color="auto" w:fill="FFFFFF"/>
        </w:rPr>
        <w:t xml:space="preserve"> Program. It involves</w:t>
      </w:r>
      <w:r>
        <w:rPr>
          <w:rStyle w:val="contentpasted0"/>
          <w:color w:val="000000" w:themeColor="text1"/>
          <w:sz w:val="22"/>
          <w:szCs w:val="22"/>
          <w:shd w:val="clear" w:color="auto" w:fill="FFFFFF"/>
        </w:rPr>
        <w:t xml:space="preserve"> assisting leading technology companies</w:t>
      </w:r>
      <w:r w:rsidRPr="002A1476">
        <w:rPr>
          <w:rStyle w:val="contentpasted0"/>
          <w:color w:val="000000" w:themeColor="text1"/>
          <w:sz w:val="22"/>
          <w:szCs w:val="22"/>
          <w:shd w:val="clear" w:color="auto" w:fill="FFFFFF"/>
        </w:rPr>
        <w:t xml:space="preserve"> </w:t>
      </w:r>
      <w:r>
        <w:rPr>
          <w:rStyle w:val="contentpasted0"/>
          <w:color w:val="000000" w:themeColor="text1"/>
          <w:sz w:val="22"/>
          <w:szCs w:val="22"/>
          <w:shd w:val="clear" w:color="auto" w:fill="FFFFFF"/>
        </w:rPr>
        <w:t>in their efforts to ensure</w:t>
      </w:r>
      <w:r w:rsidRPr="00F53AD9">
        <w:rPr>
          <w:rStyle w:val="contentpasted0"/>
          <w:color w:val="000000" w:themeColor="text1"/>
          <w:sz w:val="22"/>
          <w:szCs w:val="22"/>
          <w:shd w:val="clear" w:color="auto" w:fill="FFFFFF"/>
        </w:rPr>
        <w:t xml:space="preserve"> that </w:t>
      </w:r>
      <w:r>
        <w:rPr>
          <w:rStyle w:val="contentpasted0"/>
          <w:color w:val="000000" w:themeColor="text1"/>
          <w:sz w:val="22"/>
          <w:szCs w:val="22"/>
          <w:shd w:val="clear" w:color="auto" w:fill="FFFFFF"/>
        </w:rPr>
        <w:t xml:space="preserve">facial recognition technologies </w:t>
      </w:r>
      <w:r w:rsidRPr="002A1476">
        <w:rPr>
          <w:rStyle w:val="contentpasted0"/>
          <w:color w:val="000000" w:themeColor="text1"/>
          <w:sz w:val="22"/>
          <w:szCs w:val="22"/>
          <w:shd w:val="clear" w:color="auto" w:fill="FFFFFF"/>
        </w:rPr>
        <w:t xml:space="preserve">of the </w:t>
      </w:r>
      <w:r>
        <w:rPr>
          <w:rStyle w:val="contentpasted0"/>
          <w:color w:val="000000" w:themeColor="text1"/>
          <w:sz w:val="22"/>
          <w:szCs w:val="22"/>
          <w:shd w:val="clear" w:color="auto" w:fill="FFFFFF"/>
        </w:rPr>
        <w:t xml:space="preserve">future perform equally well across ethnic and gender identities. As a Forbes article explained, “Suppose the data used to train your AI system doesn’t have sufficient data about </w:t>
      </w:r>
      <w:r w:rsidRPr="00301C7A">
        <w:rPr>
          <w:rStyle w:val="contentpasted0"/>
          <w:color w:val="000000" w:themeColor="text1"/>
          <w:sz w:val="22"/>
          <w:szCs w:val="22"/>
          <w:shd w:val="clear" w:color="auto" w:fill="FFFFFF"/>
        </w:rPr>
        <w:t>specific classes of individuals. In that case, it may not learn what to do when it encounters those individuals. Would a facial recognition system used for check-in to a hotel recognize a person with freckles? If the system stops working</w:t>
      </w:r>
      <w:r>
        <w:rPr>
          <w:rStyle w:val="contentpasted0"/>
          <w:color w:val="000000" w:themeColor="text1"/>
          <w:sz w:val="22"/>
          <w:szCs w:val="22"/>
          <w:shd w:val="clear" w:color="auto" w:fill="FFFFFF"/>
        </w:rPr>
        <w:t xml:space="preserve"> and </w:t>
      </w:r>
      <w:r w:rsidRPr="00301C7A">
        <w:rPr>
          <w:rStyle w:val="contentpasted0"/>
          <w:color w:val="000000" w:themeColor="text1"/>
          <w:sz w:val="22"/>
          <w:szCs w:val="22"/>
          <w:shd w:val="clear" w:color="auto" w:fill="FFFFFF"/>
        </w:rPr>
        <w:t>makes check-in harder for a person with freckles</w:t>
      </w:r>
      <w:r>
        <w:rPr>
          <w:rStyle w:val="contentpasted0"/>
          <w:color w:val="000000" w:themeColor="text1"/>
          <w:sz w:val="22"/>
          <w:szCs w:val="22"/>
          <w:shd w:val="clear" w:color="auto" w:fill="FFFFFF"/>
        </w:rPr>
        <w:t>, what should the company do? How does the company address this ethical dilemma?”</w:t>
      </w:r>
      <w:r>
        <w:rPr>
          <w:rStyle w:val="FootnoteReference"/>
          <w:color w:val="000000" w:themeColor="text1"/>
          <w:sz w:val="22"/>
          <w:szCs w:val="22"/>
          <w:shd w:val="clear" w:color="auto" w:fill="FFFFFF"/>
        </w:rPr>
        <w:footnoteReference w:id="11"/>
      </w:r>
    </w:p>
    <w:p w14:paraId="641EE947" w14:textId="77777777" w:rsidR="00363CED" w:rsidRDefault="00363CED" w:rsidP="00363CED">
      <w:pPr>
        <w:ind w:firstLine="720"/>
        <w:jc w:val="both"/>
        <w:rPr>
          <w:rStyle w:val="contentpasted0"/>
          <w:color w:val="000000" w:themeColor="text1"/>
          <w:sz w:val="22"/>
          <w:szCs w:val="22"/>
          <w:shd w:val="clear" w:color="auto" w:fill="FFFFFF"/>
        </w:rPr>
      </w:pPr>
    </w:p>
    <w:p w14:paraId="10E8451A" w14:textId="77777777" w:rsidR="00363CED" w:rsidRPr="002A1476" w:rsidRDefault="00363CED" w:rsidP="00363CED">
      <w:pPr>
        <w:ind w:firstLine="720"/>
        <w:jc w:val="both"/>
        <w:rPr>
          <w:rStyle w:val="contentpasted0"/>
          <w:color w:val="000000" w:themeColor="text1"/>
          <w:sz w:val="22"/>
          <w:szCs w:val="22"/>
          <w:shd w:val="clear" w:color="auto" w:fill="FFFFFF"/>
        </w:rPr>
      </w:pPr>
      <w:r>
        <w:rPr>
          <w:rStyle w:val="contentpasted0"/>
          <w:color w:val="000000" w:themeColor="text1"/>
          <w:sz w:val="22"/>
          <w:szCs w:val="22"/>
          <w:shd w:val="clear" w:color="auto" w:fill="FFFFFF"/>
        </w:rPr>
        <w:t xml:space="preserve">Our global efforts at AI inclusivity span nations, geographies, gender identities, etc., with a focus on minority communities and identity groups. For example, we recently began working with Native </w:t>
      </w:r>
      <w:r w:rsidRPr="002A1476">
        <w:rPr>
          <w:rStyle w:val="contentpasted0"/>
          <w:color w:val="000000" w:themeColor="text1"/>
          <w:sz w:val="22"/>
          <w:szCs w:val="22"/>
          <w:shd w:val="clear" w:color="auto" w:fill="FFFFFF"/>
        </w:rPr>
        <w:t xml:space="preserve">American tribes </w:t>
      </w:r>
      <w:r>
        <w:rPr>
          <w:rStyle w:val="contentpasted0"/>
          <w:color w:val="000000" w:themeColor="text1"/>
          <w:sz w:val="22"/>
          <w:szCs w:val="22"/>
          <w:shd w:val="clear" w:color="auto" w:fill="FFFFFF"/>
        </w:rPr>
        <w:t>to ensure that they are in no respect disadvantaged by next generation facial recognition systems.</w:t>
      </w:r>
    </w:p>
    <w:p w14:paraId="39AFB709" w14:textId="77777777" w:rsidR="00363CED" w:rsidRPr="002A1476" w:rsidRDefault="00363CED" w:rsidP="00363CED">
      <w:pPr>
        <w:ind w:firstLine="720"/>
        <w:jc w:val="both"/>
        <w:rPr>
          <w:rStyle w:val="contentpasted0"/>
          <w:color w:val="000000" w:themeColor="text1"/>
          <w:sz w:val="22"/>
          <w:szCs w:val="22"/>
          <w:shd w:val="clear" w:color="auto" w:fill="FFFFFF"/>
        </w:rPr>
      </w:pPr>
    </w:p>
    <w:p w14:paraId="250D9DC7" w14:textId="77777777" w:rsidR="00363CED" w:rsidRPr="002A1476" w:rsidRDefault="00363CED" w:rsidP="00363CED">
      <w:pPr>
        <w:ind w:firstLine="720"/>
        <w:jc w:val="both"/>
        <w:rPr>
          <w:i/>
          <w:iCs/>
          <w:color w:val="000000" w:themeColor="text1"/>
          <w:sz w:val="22"/>
          <w:szCs w:val="22"/>
        </w:rPr>
      </w:pPr>
      <w:r w:rsidRPr="002A1476">
        <w:rPr>
          <w:i/>
          <w:iCs/>
          <w:color w:val="000000" w:themeColor="text1"/>
          <w:sz w:val="22"/>
          <w:szCs w:val="22"/>
        </w:rPr>
        <w:t>Environmental Stewardship</w:t>
      </w:r>
    </w:p>
    <w:p w14:paraId="166A960A" w14:textId="77777777" w:rsidR="00363CED" w:rsidRPr="002A1476" w:rsidRDefault="00363CED" w:rsidP="00363CED">
      <w:pPr>
        <w:ind w:firstLine="720"/>
        <w:jc w:val="both"/>
        <w:rPr>
          <w:rStyle w:val="contentpasted0"/>
          <w:color w:val="000000" w:themeColor="text1"/>
          <w:sz w:val="22"/>
          <w:szCs w:val="22"/>
          <w:shd w:val="clear" w:color="auto" w:fill="FFFFFF"/>
        </w:rPr>
      </w:pPr>
    </w:p>
    <w:p w14:paraId="120AC0B2" w14:textId="77777777" w:rsidR="00363CED" w:rsidRPr="002A1476" w:rsidRDefault="00363CED" w:rsidP="00363CED">
      <w:pPr>
        <w:ind w:firstLine="720"/>
        <w:jc w:val="both"/>
        <w:rPr>
          <w:rStyle w:val="contentpasted0"/>
          <w:color w:val="000000" w:themeColor="text1"/>
          <w:sz w:val="22"/>
          <w:szCs w:val="22"/>
          <w:shd w:val="clear" w:color="auto" w:fill="FFFFFF"/>
        </w:rPr>
      </w:pPr>
      <w:r w:rsidRPr="002A1476">
        <w:rPr>
          <w:rStyle w:val="contentpasted0"/>
          <w:color w:val="000000" w:themeColor="text1"/>
          <w:sz w:val="22"/>
          <w:szCs w:val="22"/>
          <w:shd w:val="clear" w:color="auto" w:fill="FFFFFF"/>
        </w:rPr>
        <w:t>We are also committed to conducting our business in a manner that manages environmental issues responsibly and contribut</w:t>
      </w:r>
      <w:r>
        <w:rPr>
          <w:rStyle w:val="contentpasted0"/>
          <w:color w:val="000000" w:themeColor="text1"/>
          <w:sz w:val="22"/>
          <w:szCs w:val="22"/>
          <w:shd w:val="clear" w:color="auto" w:fill="FFFFFF"/>
        </w:rPr>
        <w:t>es</w:t>
      </w:r>
      <w:r w:rsidRPr="002A1476">
        <w:rPr>
          <w:rStyle w:val="contentpasted0"/>
          <w:color w:val="000000" w:themeColor="text1"/>
          <w:sz w:val="22"/>
          <w:szCs w:val="22"/>
          <w:shd w:val="clear" w:color="auto" w:fill="FFFFFF"/>
        </w:rPr>
        <w:t xml:space="preserve"> to global efforts to curb carbon emissions. We fulfill this commitment by our efforts to conduct operations in an environmentally-sound manner; to manage our supply chains toward appropriate environmental practices</w:t>
      </w:r>
      <w:r>
        <w:rPr>
          <w:rStyle w:val="contentpasted0"/>
          <w:color w:val="000000" w:themeColor="text1"/>
          <w:sz w:val="22"/>
          <w:szCs w:val="22"/>
          <w:shd w:val="clear" w:color="auto" w:fill="FFFFFF"/>
        </w:rPr>
        <w:t>; and sponsor grass-roots efforts designed to preserve the environment in the communities in which we operate</w:t>
      </w:r>
      <w:r w:rsidRPr="002A1476">
        <w:rPr>
          <w:rStyle w:val="contentpasted0"/>
          <w:color w:val="000000" w:themeColor="text1"/>
          <w:sz w:val="22"/>
          <w:szCs w:val="22"/>
          <w:shd w:val="clear" w:color="auto" w:fill="FFFFFF"/>
        </w:rPr>
        <w:t>.</w:t>
      </w:r>
    </w:p>
    <w:p w14:paraId="418F35F2" w14:textId="77777777" w:rsidR="00363CED" w:rsidRPr="002A1476" w:rsidRDefault="00363CED" w:rsidP="00363CED">
      <w:pPr>
        <w:ind w:firstLine="720"/>
        <w:jc w:val="both"/>
        <w:rPr>
          <w:rStyle w:val="contentpasted0"/>
          <w:color w:val="000000" w:themeColor="text1"/>
          <w:sz w:val="22"/>
          <w:szCs w:val="22"/>
          <w:shd w:val="clear" w:color="auto" w:fill="FFFFFF"/>
        </w:rPr>
      </w:pPr>
    </w:p>
    <w:p w14:paraId="2E15511E" w14:textId="77777777" w:rsidR="00363CED" w:rsidRDefault="00363CED" w:rsidP="00363CED">
      <w:pPr>
        <w:ind w:firstLine="720"/>
        <w:jc w:val="both"/>
        <w:rPr>
          <w:rStyle w:val="contentpasted0"/>
          <w:color w:val="000000" w:themeColor="text1"/>
          <w:sz w:val="22"/>
          <w:szCs w:val="22"/>
          <w:shd w:val="clear" w:color="auto" w:fill="FFFFFF"/>
        </w:rPr>
      </w:pPr>
      <w:r w:rsidRPr="002A1476">
        <w:rPr>
          <w:rStyle w:val="contentpasted0"/>
          <w:color w:val="000000" w:themeColor="text1"/>
          <w:sz w:val="22"/>
          <w:szCs w:val="22"/>
          <w:shd w:val="clear" w:color="auto" w:fill="FFFFFF"/>
        </w:rPr>
        <w:t>We have set metrics to monitor and target the reduction of greenhouse gas emissions, energy usage, and water usage. We believe that this transparency and reporting has enabled us to improve our sustainability program continuously. We track and share with customers our emissions data for scopes 1, 2, and 3</w:t>
      </w:r>
      <w:r w:rsidRPr="001A7AE0">
        <w:rPr>
          <w:rStyle w:val="contentpasted0"/>
          <w:color w:val="000000" w:themeColor="text1"/>
          <w:sz w:val="22"/>
          <w:szCs w:val="22"/>
          <w:shd w:val="clear" w:color="auto" w:fill="FFFFFF"/>
        </w:rPr>
        <w:t>.</w:t>
      </w:r>
    </w:p>
    <w:p w14:paraId="02D5BB54" w14:textId="77777777" w:rsidR="00363CED" w:rsidRDefault="00363CED" w:rsidP="00363CED">
      <w:pPr>
        <w:ind w:firstLine="720"/>
        <w:jc w:val="both"/>
        <w:rPr>
          <w:rStyle w:val="contentpasted0"/>
          <w:color w:val="000000" w:themeColor="text1"/>
          <w:sz w:val="22"/>
          <w:szCs w:val="22"/>
          <w:shd w:val="clear" w:color="auto" w:fill="FFFFFF"/>
        </w:rPr>
      </w:pPr>
    </w:p>
    <w:p w14:paraId="5C80274F" w14:textId="77777777" w:rsidR="00363CED" w:rsidRPr="002A1476" w:rsidRDefault="00363CED" w:rsidP="00363CED">
      <w:pPr>
        <w:ind w:firstLine="720"/>
        <w:jc w:val="both"/>
        <w:rPr>
          <w:rStyle w:val="contentpasted0"/>
          <w:color w:val="000000" w:themeColor="text1"/>
          <w:sz w:val="22"/>
          <w:szCs w:val="22"/>
          <w:shd w:val="clear" w:color="auto" w:fill="FFFFFF"/>
        </w:rPr>
      </w:pPr>
      <w:r>
        <w:rPr>
          <w:rStyle w:val="contentpasted0"/>
          <w:color w:val="000000" w:themeColor="text1"/>
          <w:sz w:val="22"/>
          <w:szCs w:val="22"/>
          <w:shd w:val="clear" w:color="auto" w:fill="FFFFFF"/>
        </w:rPr>
        <w:t>Across all our global operations, we recycle e-waste and paper. In India, the Philippines, and Sri Lanka, w</w:t>
      </w:r>
      <w:r w:rsidRPr="003F0675">
        <w:rPr>
          <w:rStyle w:val="contentpasted0"/>
          <w:color w:val="000000" w:themeColor="text1"/>
          <w:sz w:val="22"/>
          <w:szCs w:val="22"/>
          <w:shd w:val="clear" w:color="auto" w:fill="FFFFFF"/>
        </w:rPr>
        <w:t xml:space="preserve">e have planted over </w:t>
      </w:r>
      <w:r>
        <w:rPr>
          <w:rStyle w:val="contentpasted0"/>
          <w:color w:val="000000" w:themeColor="text1"/>
          <w:sz w:val="22"/>
          <w:szCs w:val="22"/>
          <w:shd w:val="clear" w:color="auto" w:fill="FFFFFF"/>
        </w:rPr>
        <w:t>1</w:t>
      </w:r>
      <w:r w:rsidRPr="003F0675">
        <w:rPr>
          <w:rStyle w:val="contentpasted0"/>
          <w:color w:val="000000" w:themeColor="text1"/>
          <w:sz w:val="22"/>
          <w:szCs w:val="22"/>
          <w:shd w:val="clear" w:color="auto" w:fill="FFFFFF"/>
        </w:rPr>
        <w:t>,100 saplings in nature reserves</w:t>
      </w:r>
      <w:r>
        <w:rPr>
          <w:rStyle w:val="contentpasted0"/>
          <w:color w:val="000000" w:themeColor="text1"/>
          <w:sz w:val="22"/>
          <w:szCs w:val="22"/>
          <w:shd w:val="clear" w:color="auto" w:fill="FFFFFF"/>
        </w:rPr>
        <w:t xml:space="preserve"> in 2022 and in Q1 2023 we aim to increase this to 4,400 saplings</w:t>
      </w:r>
      <w:r w:rsidRPr="003F0675">
        <w:rPr>
          <w:rStyle w:val="contentpasted0"/>
          <w:color w:val="000000" w:themeColor="text1"/>
          <w:sz w:val="22"/>
          <w:szCs w:val="22"/>
          <w:shd w:val="clear" w:color="auto" w:fill="FFFFFF"/>
        </w:rPr>
        <w:t>.</w:t>
      </w:r>
      <w:r>
        <w:rPr>
          <w:rStyle w:val="contentpasted0"/>
          <w:color w:val="000000" w:themeColor="text1"/>
          <w:sz w:val="22"/>
          <w:szCs w:val="22"/>
          <w:shd w:val="clear" w:color="auto" w:fill="FFFFFF"/>
        </w:rPr>
        <w:t xml:space="preserve"> Our program has practices in place to ensure that the trees will receive proper care and attention during their initial growth phase, which is crucial for their survival. </w:t>
      </w:r>
    </w:p>
    <w:p w14:paraId="3B70D878" w14:textId="77777777" w:rsidR="00363CED" w:rsidRPr="002A1476" w:rsidRDefault="00363CED" w:rsidP="00363CED">
      <w:pPr>
        <w:ind w:firstLine="720"/>
        <w:jc w:val="both"/>
        <w:rPr>
          <w:rStyle w:val="contentpasted0"/>
          <w:color w:val="000000" w:themeColor="text1"/>
          <w:sz w:val="22"/>
          <w:szCs w:val="22"/>
          <w:shd w:val="clear" w:color="auto" w:fill="FFFFFF"/>
        </w:rPr>
      </w:pPr>
    </w:p>
    <w:p w14:paraId="732D4B1B" w14:textId="77777777" w:rsidR="00363CED" w:rsidRPr="002A1476" w:rsidRDefault="00363CED" w:rsidP="00363CED">
      <w:pPr>
        <w:ind w:firstLine="720"/>
        <w:jc w:val="both"/>
        <w:rPr>
          <w:rStyle w:val="contentpasted0"/>
          <w:i/>
          <w:iCs/>
          <w:color w:val="000000" w:themeColor="text1"/>
          <w:sz w:val="22"/>
          <w:szCs w:val="22"/>
          <w:shd w:val="clear" w:color="auto" w:fill="FFFFFF"/>
        </w:rPr>
      </w:pPr>
      <w:r w:rsidRPr="002A1476">
        <w:rPr>
          <w:rStyle w:val="contentpasted0"/>
          <w:i/>
          <w:iCs/>
          <w:color w:val="000000" w:themeColor="text1"/>
          <w:sz w:val="22"/>
          <w:szCs w:val="22"/>
          <w:shd w:val="clear" w:color="auto" w:fill="FFFFFF"/>
        </w:rPr>
        <w:t>Sustainability</w:t>
      </w:r>
    </w:p>
    <w:p w14:paraId="2BA75102" w14:textId="77777777" w:rsidR="00363CED" w:rsidRPr="002A1476" w:rsidRDefault="00363CED" w:rsidP="00363CED">
      <w:pPr>
        <w:ind w:firstLine="720"/>
        <w:jc w:val="both"/>
        <w:rPr>
          <w:rStyle w:val="contentpasted0"/>
          <w:color w:val="000000" w:themeColor="text1"/>
          <w:sz w:val="22"/>
          <w:szCs w:val="22"/>
          <w:shd w:val="clear" w:color="auto" w:fill="FFFFFF"/>
        </w:rPr>
      </w:pPr>
    </w:p>
    <w:p w14:paraId="4CDB797D" w14:textId="77777777" w:rsidR="00363CED" w:rsidRPr="002A1476" w:rsidRDefault="00363CED" w:rsidP="00363CED">
      <w:pPr>
        <w:spacing w:after="240"/>
        <w:ind w:firstLine="720"/>
        <w:jc w:val="both"/>
        <w:rPr>
          <w:rStyle w:val="contentpasted0"/>
          <w:color w:val="000000" w:themeColor="text1"/>
          <w:sz w:val="22"/>
          <w:szCs w:val="22"/>
          <w:shd w:val="clear" w:color="auto" w:fill="FFFFFF"/>
        </w:rPr>
      </w:pPr>
      <w:r w:rsidRPr="002A1476">
        <w:rPr>
          <w:rStyle w:val="contentpasted0"/>
          <w:color w:val="000000" w:themeColor="text1"/>
          <w:sz w:val="22"/>
          <w:szCs w:val="22"/>
          <w:shd w:val="clear" w:color="auto" w:fill="FFFFFF"/>
        </w:rPr>
        <w:t xml:space="preserve">Our sustainability program is based on the following core elements: health and safety, business continuity management, information security, labor standards, anti-bribery and corruption, and management engagement and social impact. </w:t>
      </w:r>
      <w:r w:rsidRPr="00F51D4D">
        <w:rPr>
          <w:rStyle w:val="contentpasted0"/>
          <w:color w:val="000000" w:themeColor="text1"/>
          <w:sz w:val="22"/>
          <w:szCs w:val="22"/>
          <w:shd w:val="clear" w:color="auto" w:fill="FFFFFF"/>
        </w:rPr>
        <w:t xml:space="preserve">Our sustainability program is backed by ISO 27001:2013 (information security) certification, policies, and employee training for these core areas. </w:t>
      </w:r>
    </w:p>
    <w:p w14:paraId="1AD0A05B" w14:textId="77777777" w:rsidR="00363CED" w:rsidRPr="002A1476" w:rsidRDefault="00363CED" w:rsidP="00363CED">
      <w:pPr>
        <w:tabs>
          <w:tab w:val="left" w:pos="-720"/>
        </w:tabs>
        <w:suppressAutoHyphens/>
        <w:spacing w:line="240" w:lineRule="atLeast"/>
        <w:jc w:val="both"/>
        <w:outlineLvl w:val="0"/>
        <w:rPr>
          <w:b/>
          <w:bCs/>
          <w:color w:val="000000" w:themeColor="text1"/>
          <w:spacing w:val="-2"/>
          <w:sz w:val="22"/>
          <w:szCs w:val="22"/>
        </w:rPr>
      </w:pPr>
      <w:r w:rsidRPr="002A1476">
        <w:rPr>
          <w:b/>
          <w:bCs/>
          <w:color w:val="000000" w:themeColor="text1"/>
          <w:spacing w:val="-2"/>
          <w:sz w:val="22"/>
          <w:szCs w:val="22"/>
        </w:rPr>
        <w:t>Employees</w:t>
      </w:r>
    </w:p>
    <w:p w14:paraId="50A484C5" w14:textId="77777777" w:rsidR="00363CED" w:rsidRPr="002A1476" w:rsidRDefault="00363CED" w:rsidP="00363CED">
      <w:pPr>
        <w:tabs>
          <w:tab w:val="left" w:pos="-720"/>
        </w:tabs>
        <w:suppressAutoHyphens/>
        <w:spacing w:line="240" w:lineRule="atLeast"/>
        <w:jc w:val="both"/>
        <w:rPr>
          <w:b/>
          <w:bCs/>
          <w:color w:val="000000" w:themeColor="text1"/>
          <w:spacing w:val="-2"/>
          <w:sz w:val="22"/>
          <w:szCs w:val="22"/>
        </w:rPr>
      </w:pPr>
    </w:p>
    <w:p w14:paraId="52865EDE" w14:textId="77777777" w:rsidR="00363CED" w:rsidRPr="002A1476" w:rsidRDefault="00363CED" w:rsidP="00363CED">
      <w:pPr>
        <w:pStyle w:val="ListParagraph"/>
        <w:spacing w:line="240" w:lineRule="atLeast"/>
        <w:ind w:left="0"/>
        <w:jc w:val="both"/>
        <w:rPr>
          <w:rFonts w:ascii="Times New Roman" w:hAnsi="Times New Roman"/>
          <w:color w:val="000000" w:themeColor="text1"/>
          <w:spacing w:val="-2"/>
        </w:rPr>
      </w:pPr>
      <w:r w:rsidRPr="002A1476">
        <w:rPr>
          <w:rFonts w:ascii="Times New Roman" w:hAnsi="Times New Roman"/>
          <w:color w:val="000000" w:themeColor="text1"/>
          <w:spacing w:val="-2"/>
        </w:rPr>
        <w:tab/>
        <w:t xml:space="preserve">As of December 31, 2022, we employed </w:t>
      </w:r>
      <w:r>
        <w:rPr>
          <w:rFonts w:ascii="Times New Roman" w:hAnsi="Times New Roman"/>
          <w:spacing w:val="-2"/>
        </w:rPr>
        <w:t xml:space="preserve">4,209 employees, 4,205 of which are full-time, with </w:t>
      </w:r>
      <w:r w:rsidRPr="00216AD6">
        <w:rPr>
          <w:rFonts w:ascii="Times New Roman" w:hAnsi="Times New Roman"/>
          <w:spacing w:val="-2"/>
        </w:rPr>
        <w:t xml:space="preserve">181 persons in the United States, Canada and the United Kingdom, and 4,028 persons in the </w:t>
      </w:r>
      <w:r w:rsidRPr="00216AD6">
        <w:rPr>
          <w:rFonts w:ascii="Times New Roman" w:hAnsi="Times New Roman"/>
        </w:rPr>
        <w:t>Philippines, India, Sri Lanka, Canada, Germany, and Israel</w:t>
      </w:r>
      <w:r w:rsidRPr="002A1476">
        <w:rPr>
          <w:rFonts w:ascii="Times New Roman" w:hAnsi="Times New Roman"/>
          <w:color w:val="000000" w:themeColor="text1"/>
          <w:spacing w:val="-2"/>
        </w:rPr>
        <w:t>. Many of our employees hold advanced degrees in specialized fields such as law, business, technology, medicine, and social sciences. No employees are currently represented by a labor union, and we believe that our relations with our employees are satisfactory.</w:t>
      </w:r>
    </w:p>
    <w:p w14:paraId="07F25AAC" w14:textId="77777777" w:rsidR="00363CED" w:rsidRDefault="00363CED" w:rsidP="00363CED">
      <w:pPr>
        <w:rPr>
          <w:color w:val="000000" w:themeColor="text1"/>
        </w:rPr>
      </w:pPr>
    </w:p>
    <w:p w14:paraId="778D1ACC" w14:textId="77777777" w:rsidR="00363CED" w:rsidRPr="00F51D4D" w:rsidRDefault="00363CED" w:rsidP="00363CED">
      <w:pPr>
        <w:keepNext/>
        <w:keepLines/>
        <w:tabs>
          <w:tab w:val="left" w:pos="720"/>
          <w:tab w:val="left" w:pos="8640"/>
        </w:tabs>
        <w:jc w:val="both"/>
        <w:rPr>
          <w:b/>
          <w:sz w:val="22"/>
          <w:szCs w:val="22"/>
        </w:rPr>
      </w:pPr>
      <w:r w:rsidRPr="00F51D4D">
        <w:rPr>
          <w:b/>
          <w:sz w:val="22"/>
          <w:szCs w:val="22"/>
        </w:rPr>
        <w:t>Corporate Offices</w:t>
      </w:r>
    </w:p>
    <w:p w14:paraId="7B4A0BA7" w14:textId="77777777" w:rsidR="00363CED" w:rsidRPr="00F51D4D" w:rsidRDefault="00363CED" w:rsidP="00363CED">
      <w:pPr>
        <w:pStyle w:val="NormalWeb"/>
        <w:keepNext/>
        <w:keepLines/>
        <w:spacing w:before="0" w:beforeAutospacing="0" w:after="0" w:afterAutospacing="0"/>
        <w:jc w:val="both"/>
        <w:rPr>
          <w:b/>
          <w:sz w:val="22"/>
          <w:szCs w:val="22"/>
        </w:rPr>
      </w:pPr>
    </w:p>
    <w:p w14:paraId="62ADF622" w14:textId="77777777" w:rsidR="00363CED" w:rsidRPr="00F51D4D" w:rsidRDefault="00363CED" w:rsidP="00363CED">
      <w:pPr>
        <w:pStyle w:val="NormalWeb"/>
        <w:keepNext/>
        <w:keepLines/>
        <w:spacing w:before="0" w:beforeAutospacing="0" w:after="0" w:afterAutospacing="0"/>
        <w:ind w:firstLine="720"/>
        <w:jc w:val="both"/>
        <w:rPr>
          <w:sz w:val="22"/>
          <w:szCs w:val="22"/>
        </w:rPr>
      </w:pPr>
      <w:r w:rsidRPr="00F51D4D">
        <w:rPr>
          <w:spacing w:val="-2"/>
          <w:sz w:val="22"/>
          <w:szCs w:val="22"/>
        </w:rPr>
        <w:t xml:space="preserve">Our principal executive offices are located at 55 Challenger Road, Ridgefield Park, New Jersey 07660, just outside New York City, and our telephone number is (201) 371-8000. </w:t>
      </w:r>
      <w:r w:rsidRPr="00F51D4D">
        <w:rPr>
          <w:sz w:val="22"/>
          <w:szCs w:val="22"/>
        </w:rPr>
        <w:t>We were founded in 1988.</w:t>
      </w:r>
    </w:p>
    <w:p w14:paraId="46C868EB" w14:textId="77777777" w:rsidR="00363CED" w:rsidRPr="00F51D4D" w:rsidRDefault="00363CED" w:rsidP="00363CED">
      <w:pPr>
        <w:pStyle w:val="NormalWeb"/>
        <w:spacing w:before="0" w:beforeAutospacing="0" w:after="0" w:afterAutospacing="0"/>
        <w:jc w:val="both"/>
        <w:rPr>
          <w:b/>
          <w:sz w:val="22"/>
          <w:szCs w:val="22"/>
        </w:rPr>
      </w:pPr>
    </w:p>
    <w:p w14:paraId="158C1BE9" w14:textId="691492A1" w:rsidR="00363CED" w:rsidRDefault="00363CED" w:rsidP="00363CED">
      <w:pPr>
        <w:rPr>
          <w:spacing w:val="-2"/>
          <w:sz w:val="22"/>
          <w:szCs w:val="22"/>
        </w:rPr>
      </w:pPr>
      <w:r w:rsidRPr="00F51D4D">
        <w:rPr>
          <w:spacing w:val="-2"/>
          <w:sz w:val="22"/>
          <w:szCs w:val="22"/>
        </w:rPr>
        <w:tab/>
        <w:t xml:space="preserve">Our website is </w:t>
      </w:r>
      <w:hyperlink r:id="rId21" w:history="1">
        <w:r w:rsidRPr="00F51D4D">
          <w:rPr>
            <w:rStyle w:val="Hyperlink"/>
            <w:spacing w:val="-2"/>
            <w:sz w:val="22"/>
            <w:szCs w:val="22"/>
          </w:rPr>
          <w:t>www.innodata.com</w:t>
        </w:r>
      </w:hyperlink>
      <w:r w:rsidRPr="00F51D4D">
        <w:rPr>
          <w:spacing w:val="-2"/>
          <w:sz w:val="22"/>
          <w:szCs w:val="22"/>
        </w:rPr>
        <w:t xml:space="preserve">;  information contained on our website is not included as a part of, or incorporated by reference into, this Annual Report on Form 10-K. There we make available, free of charge, our Annual Report on Form 10-K, Quarterly Reports on Form 10-Q, Current Reports on Form 8-K, and any amendments to those reports, as soon as reasonably practicable after we electronically file that material with, or furnish it to, the SEC. Our SEC reports can be obtained through the Investor Relations section of our website or from the Securities and Exchange Commission at </w:t>
      </w:r>
      <w:hyperlink r:id="rId22" w:history="1">
        <w:r w:rsidRPr="00F51D4D">
          <w:rPr>
            <w:rStyle w:val="Hyperlink"/>
            <w:spacing w:val="-2"/>
            <w:sz w:val="22"/>
            <w:szCs w:val="22"/>
          </w:rPr>
          <w:t>www.sec.gov</w:t>
        </w:r>
      </w:hyperlink>
      <w:r w:rsidRPr="00F51D4D">
        <w:rPr>
          <w:spacing w:val="-2"/>
          <w:sz w:val="22"/>
          <w:szCs w:val="22"/>
        </w:rPr>
        <w:t>.</w:t>
      </w:r>
    </w:p>
    <w:p w14:paraId="282C6C3B" w14:textId="77777777" w:rsidR="00A436EA" w:rsidRPr="00501AD3" w:rsidRDefault="00A436EA" w:rsidP="00595B31">
      <w:pPr>
        <w:tabs>
          <w:tab w:val="left" w:pos="-720"/>
        </w:tabs>
        <w:outlineLvl w:val="0"/>
        <w:rPr>
          <w:b/>
          <w:sz w:val="22"/>
          <w:szCs w:val="22"/>
        </w:rPr>
      </w:pPr>
      <w:bookmarkStart w:id="8" w:name="_Hlk96004641"/>
      <w:bookmarkEnd w:id="7"/>
    </w:p>
    <w:bookmarkEnd w:id="8"/>
    <w:p w14:paraId="375BE9DF" w14:textId="77777777" w:rsidR="00E82C3F" w:rsidRPr="00E82C3F" w:rsidRDefault="00E82C3F" w:rsidP="00E82C3F">
      <w:pPr>
        <w:widowControl w:val="0"/>
        <w:tabs>
          <w:tab w:val="left" w:pos="-720"/>
        </w:tabs>
        <w:autoSpaceDE w:val="0"/>
        <w:autoSpaceDN w:val="0"/>
        <w:adjustRightInd w:val="0"/>
        <w:outlineLvl w:val="0"/>
        <w:rPr>
          <w:b/>
          <w:sz w:val="22"/>
          <w:szCs w:val="22"/>
        </w:rPr>
      </w:pPr>
      <w:r w:rsidRPr="00E82C3F">
        <w:rPr>
          <w:b/>
          <w:sz w:val="22"/>
          <w:szCs w:val="22"/>
        </w:rPr>
        <w:t>Item 1A.  Risk Factors.</w:t>
      </w:r>
    </w:p>
    <w:p w14:paraId="5C27DAF0"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i/>
          <w:sz w:val="22"/>
          <w:szCs w:val="22"/>
          <w:shd w:val="clear" w:color="auto" w:fill="FFFFFF"/>
        </w:rPr>
      </w:pPr>
    </w:p>
    <w:p w14:paraId="00071B9B"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i/>
          <w:spacing w:val="-2"/>
          <w:sz w:val="22"/>
          <w:szCs w:val="22"/>
        </w:rPr>
      </w:pPr>
      <w:r w:rsidRPr="00E82C3F">
        <w:rPr>
          <w:i/>
          <w:sz w:val="22"/>
          <w:szCs w:val="22"/>
          <w:shd w:val="clear" w:color="auto" w:fill="FFFFFF"/>
        </w:rPr>
        <w:t>The risk factors set forth below describe what the Company believes to be the material factors, risks, and uncertainties related to our business, financial condition, and results of operations. The risks and uncertainties set forth below, as well as other factors described elsewhere in this Form 10-K or in other filings by the Company with the SEC, could adversely affect the Company’s business, financial condition and results of operations. Additional risks and uncertainties that are not currently known to the Company or that are not currently believed by the Company to be material may also harm the Company’s business, financial condition and results of operations.</w:t>
      </w:r>
    </w:p>
    <w:p w14:paraId="2BBACACC"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p>
    <w:p w14:paraId="3802C482" w14:textId="77777777" w:rsidR="00E82C3F" w:rsidRPr="00E82C3F" w:rsidRDefault="00E82C3F" w:rsidP="00E82C3F">
      <w:pPr>
        <w:widowControl w:val="0"/>
        <w:shd w:val="clear" w:color="auto" w:fill="FFFFFF"/>
        <w:autoSpaceDE w:val="0"/>
        <w:autoSpaceDN w:val="0"/>
        <w:adjustRightInd w:val="0"/>
        <w:jc w:val="both"/>
        <w:textAlignment w:val="baseline"/>
        <w:rPr>
          <w:b/>
          <w:bCs/>
          <w:sz w:val="22"/>
          <w:szCs w:val="22"/>
          <w:u w:val="single"/>
          <w:bdr w:val="none" w:sz="0" w:space="0" w:color="auto" w:frame="1"/>
        </w:rPr>
      </w:pPr>
      <w:r w:rsidRPr="00E82C3F">
        <w:rPr>
          <w:b/>
          <w:bCs/>
          <w:sz w:val="22"/>
          <w:szCs w:val="22"/>
          <w:u w:val="single"/>
          <w:shd w:val="clear" w:color="auto" w:fill="FFFFFF"/>
        </w:rPr>
        <w:t xml:space="preserve">Risks </w:t>
      </w:r>
      <w:r w:rsidRPr="00E82C3F">
        <w:rPr>
          <w:b/>
          <w:bCs/>
          <w:sz w:val="22"/>
          <w:szCs w:val="22"/>
          <w:u w:val="single"/>
          <w:bdr w:val="none" w:sz="0" w:space="0" w:color="auto" w:frame="1"/>
        </w:rPr>
        <w:t>Related to Our Business and Operations</w:t>
      </w:r>
    </w:p>
    <w:p w14:paraId="5D3992E1" w14:textId="77777777" w:rsidR="00E82C3F" w:rsidRPr="00E82C3F" w:rsidRDefault="00E82C3F" w:rsidP="00E82C3F">
      <w:pPr>
        <w:widowControl w:val="0"/>
        <w:shd w:val="clear" w:color="auto" w:fill="FFFFFF"/>
        <w:autoSpaceDE w:val="0"/>
        <w:autoSpaceDN w:val="0"/>
        <w:adjustRightInd w:val="0"/>
        <w:jc w:val="both"/>
        <w:textAlignment w:val="baseline"/>
        <w:rPr>
          <w:b/>
          <w:bCs/>
          <w:sz w:val="22"/>
          <w:szCs w:val="22"/>
          <w:u w:val="single"/>
          <w:bdr w:val="none" w:sz="0" w:space="0" w:color="auto" w:frame="1"/>
        </w:rPr>
      </w:pPr>
    </w:p>
    <w:p w14:paraId="04C4B1E9"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color w:val="00B0F0"/>
          <w:spacing w:val="-2"/>
          <w:sz w:val="22"/>
          <w:szCs w:val="22"/>
        </w:rPr>
      </w:pPr>
      <w:r w:rsidRPr="00E82C3F">
        <w:rPr>
          <w:b/>
          <w:bCs/>
          <w:spacing w:val="-2"/>
          <w:sz w:val="22"/>
          <w:szCs w:val="22"/>
        </w:rPr>
        <w:t>We have historically relied on a limited number of customers that have accounted for a significant portion of our revenues, and our results of operations could be adversely affected if we were to lose one or more of these significant customers</w:t>
      </w:r>
      <w:r w:rsidRPr="00E82C3F">
        <w:rPr>
          <w:b/>
          <w:bCs/>
          <w:color w:val="00B0F0"/>
          <w:spacing w:val="-2"/>
          <w:sz w:val="22"/>
          <w:szCs w:val="22"/>
        </w:rPr>
        <w:t>.</w:t>
      </w:r>
    </w:p>
    <w:p w14:paraId="08E9E7E7" w14:textId="77777777" w:rsidR="00E82C3F" w:rsidRPr="00E82C3F" w:rsidRDefault="00E82C3F" w:rsidP="00E82C3F">
      <w:pPr>
        <w:widowControl w:val="0"/>
        <w:tabs>
          <w:tab w:val="left" w:pos="-720"/>
          <w:tab w:val="left" w:pos="90"/>
        </w:tabs>
        <w:suppressAutoHyphens/>
        <w:autoSpaceDE w:val="0"/>
        <w:autoSpaceDN w:val="0"/>
        <w:adjustRightInd w:val="0"/>
        <w:spacing w:line="240" w:lineRule="atLeast"/>
        <w:jc w:val="both"/>
        <w:rPr>
          <w:spacing w:val="-2"/>
          <w:sz w:val="22"/>
          <w:szCs w:val="22"/>
        </w:rPr>
      </w:pPr>
    </w:p>
    <w:p w14:paraId="10723B7F" w14:textId="39CB6BDB" w:rsidR="00E82C3F" w:rsidRPr="00E82C3F" w:rsidRDefault="00E82C3F" w:rsidP="009B345D">
      <w:pPr>
        <w:tabs>
          <w:tab w:val="left" w:pos="-720"/>
          <w:tab w:val="left" w:pos="720"/>
        </w:tabs>
        <w:suppressAutoHyphens/>
        <w:spacing w:line="240" w:lineRule="atLeast"/>
        <w:jc w:val="both"/>
        <w:rPr>
          <w:spacing w:val="-2"/>
          <w:sz w:val="22"/>
          <w:szCs w:val="22"/>
        </w:rPr>
      </w:pPr>
      <w:r w:rsidRPr="00E82C3F">
        <w:rPr>
          <w:bCs/>
          <w:spacing w:val="-2"/>
          <w:sz w:val="22"/>
          <w:szCs w:val="22"/>
        </w:rPr>
        <w:lastRenderedPageBreak/>
        <w:tab/>
        <w:t xml:space="preserve">We have historically relied on a limited number of customers that have accounted for a significant portion of our revenues. </w:t>
      </w:r>
      <w:r w:rsidR="00422CC8" w:rsidRPr="00FD3266">
        <w:rPr>
          <w:spacing w:val="-2"/>
          <w:sz w:val="22"/>
          <w:szCs w:val="22"/>
        </w:rPr>
        <w:t xml:space="preserve">One customer in the DDS segment </w:t>
      </w:r>
      <w:r w:rsidR="00422CC8" w:rsidRPr="003F5AE0">
        <w:rPr>
          <w:spacing w:val="-2"/>
          <w:sz w:val="22"/>
          <w:szCs w:val="22"/>
        </w:rPr>
        <w:t xml:space="preserve">generated approximately </w:t>
      </w:r>
      <w:r w:rsidR="00422CC8">
        <w:rPr>
          <w:spacing w:val="-2"/>
          <w:sz w:val="22"/>
          <w:szCs w:val="22"/>
        </w:rPr>
        <w:t>11</w:t>
      </w:r>
      <w:r w:rsidR="00422CC8" w:rsidRPr="003F5AE0">
        <w:rPr>
          <w:spacing w:val="-2"/>
          <w:sz w:val="22"/>
          <w:szCs w:val="22"/>
        </w:rPr>
        <w:t>% of the Company’s total revenues in the fiscal year ended December 31, 2022</w:t>
      </w:r>
      <w:r w:rsidR="00422CC8">
        <w:rPr>
          <w:spacing w:val="-2"/>
          <w:sz w:val="22"/>
          <w:szCs w:val="22"/>
        </w:rPr>
        <w:t xml:space="preserve">. Another customer in the DDS segment generated </w:t>
      </w:r>
      <w:r w:rsidR="00422CC8" w:rsidRPr="003F5AE0">
        <w:rPr>
          <w:spacing w:val="-2"/>
          <w:sz w:val="22"/>
          <w:szCs w:val="22"/>
        </w:rPr>
        <w:t>approximately</w:t>
      </w:r>
      <w:r w:rsidR="00422CC8">
        <w:rPr>
          <w:spacing w:val="-2"/>
          <w:sz w:val="22"/>
          <w:szCs w:val="22"/>
        </w:rPr>
        <w:t xml:space="preserve"> </w:t>
      </w:r>
      <w:r w:rsidR="00422CC8" w:rsidRPr="003F5AE0">
        <w:rPr>
          <w:spacing w:val="-2"/>
          <w:sz w:val="22"/>
          <w:szCs w:val="22"/>
        </w:rPr>
        <w:t>11% of the Company’s total revenues in the fiscal year ended December 31, 2021.</w:t>
      </w:r>
      <w:r w:rsidR="00422CC8">
        <w:rPr>
          <w:spacing w:val="-2"/>
          <w:sz w:val="22"/>
          <w:szCs w:val="22"/>
        </w:rPr>
        <w:t xml:space="preserve"> </w:t>
      </w:r>
      <w:r w:rsidR="00422CC8" w:rsidRPr="003F5AE0">
        <w:rPr>
          <w:spacing w:val="-2"/>
          <w:sz w:val="22"/>
          <w:szCs w:val="22"/>
        </w:rPr>
        <w:t xml:space="preserve">No other customer accounted for 10% or more of total revenues during these periods. Further, in the years ended December 31, 2022 and 2021, revenues from non-U.S. customers accounted for </w:t>
      </w:r>
      <w:r w:rsidR="00422CC8">
        <w:rPr>
          <w:spacing w:val="-2"/>
          <w:sz w:val="22"/>
          <w:szCs w:val="22"/>
        </w:rPr>
        <w:t>38</w:t>
      </w:r>
      <w:r w:rsidR="00422CC8" w:rsidRPr="003F5AE0">
        <w:rPr>
          <w:spacing w:val="-2"/>
          <w:sz w:val="22"/>
          <w:szCs w:val="22"/>
        </w:rPr>
        <w:t>% and 45%, respectively, of the Company's revenues</w:t>
      </w:r>
      <w:r w:rsidR="00422CC8" w:rsidRPr="00501AD3">
        <w:rPr>
          <w:spacing w:val="-2"/>
          <w:sz w:val="22"/>
          <w:szCs w:val="22"/>
        </w:rPr>
        <w:t>.</w:t>
      </w:r>
      <w:r w:rsidR="00422CC8">
        <w:rPr>
          <w:spacing w:val="-2"/>
          <w:sz w:val="22"/>
          <w:szCs w:val="22"/>
        </w:rPr>
        <w:t xml:space="preserve"> </w:t>
      </w:r>
      <w:r w:rsidRPr="00E82C3F">
        <w:rPr>
          <w:spacing w:val="-2"/>
          <w:sz w:val="22"/>
          <w:szCs w:val="22"/>
        </w:rPr>
        <w:t xml:space="preserve">We may lose one or more of these customers, or our other major customers, as a result of our failure to meet or satisfy our customer’s requirements, the completion or termination of a project or engagement, or the customer’s selection of another service provider.  </w:t>
      </w:r>
    </w:p>
    <w:p w14:paraId="096141EB"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highlight w:val="yellow"/>
        </w:rPr>
      </w:pPr>
    </w:p>
    <w:p w14:paraId="732A927C"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In addition, the volume of work performed for our major customers may vary from year to year, and services they require from us may change from year to year. They may also request that we modify certain key terms of our agreements with them as a condition of continuing to do business with us. If the volume of work performed for our major customers varies, if the services they require from us change, or if they require price concessions, our revenues and results of operations could be adversely affected, and we may incur a loss from operations. If certain key terms of our agreements with our major customers are modified, our revenues and results of operations may be adversely affected. Our services are typically subject to customer requirements, and in many cases are terminable upon 30 to 90 days’ notice.  The loss of these customers or a significant variation in the volume of work performed for these customers may have a material adverse effect upon our business, financial condition and results of operations.  </w:t>
      </w:r>
    </w:p>
    <w:p w14:paraId="43428F24" w14:textId="77777777" w:rsidR="00E82C3F" w:rsidRPr="00E82C3F" w:rsidRDefault="00E82C3F" w:rsidP="00E82C3F">
      <w:pPr>
        <w:widowControl w:val="0"/>
        <w:autoSpaceDE w:val="0"/>
        <w:autoSpaceDN w:val="0"/>
        <w:adjustRightInd w:val="0"/>
        <w:jc w:val="both"/>
        <w:rPr>
          <w:sz w:val="22"/>
          <w:szCs w:val="22"/>
        </w:rPr>
      </w:pPr>
    </w:p>
    <w:p w14:paraId="6B7A27B9"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r w:rsidRPr="00E82C3F">
        <w:rPr>
          <w:b/>
          <w:bCs/>
          <w:spacing w:val="-2"/>
          <w:sz w:val="22"/>
          <w:szCs w:val="22"/>
        </w:rPr>
        <w:t>A portion of our services is provided on a non</w:t>
      </w:r>
      <w:r w:rsidRPr="00E82C3F">
        <w:rPr>
          <w:b/>
          <w:bCs/>
          <w:spacing w:val="-2"/>
          <w:sz w:val="22"/>
          <w:szCs w:val="22"/>
        </w:rPr>
        <w:noBreakHyphen/>
        <w:t>recurring basis for specific projects, and our inability to replace large projects when they are completed or otherwise terminated has adversely affected, and could in the future adversely affect, our revenues and results of operations.</w:t>
      </w:r>
    </w:p>
    <w:p w14:paraId="4852E7A2"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2F8CFC68"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We provide a portion of our services for specific projects that generate revenues that terminate on completion of a defined task. While we seek, whenever possible, on completion or termination of large projects, to counterbalance periodic declines in revenues with new arrangements to provide services to the same customer or others, our inability to obtain sufficient new projects to counterbalance any decreases in such work may adversely affect our future revenues and results of operations.</w:t>
      </w:r>
    </w:p>
    <w:p w14:paraId="4EBBF15B" w14:textId="77777777" w:rsidR="00E82C3F" w:rsidRPr="00E82C3F" w:rsidRDefault="00E82C3F" w:rsidP="00E82C3F">
      <w:pPr>
        <w:widowControl w:val="0"/>
        <w:autoSpaceDE w:val="0"/>
        <w:autoSpaceDN w:val="0"/>
        <w:adjustRightInd w:val="0"/>
        <w:jc w:val="both"/>
        <w:rPr>
          <w:sz w:val="22"/>
          <w:szCs w:val="22"/>
        </w:rPr>
      </w:pPr>
    </w:p>
    <w:p w14:paraId="1B270627" w14:textId="77777777" w:rsidR="00E82C3F" w:rsidRPr="00E82C3F" w:rsidRDefault="00E82C3F" w:rsidP="00E82C3F">
      <w:pPr>
        <w:widowControl w:val="0"/>
        <w:autoSpaceDE w:val="0"/>
        <w:autoSpaceDN w:val="0"/>
        <w:adjustRightInd w:val="0"/>
        <w:jc w:val="both"/>
        <w:rPr>
          <w:b/>
          <w:sz w:val="22"/>
          <w:szCs w:val="22"/>
        </w:rPr>
      </w:pPr>
      <w:r w:rsidRPr="00E82C3F">
        <w:rPr>
          <w:b/>
          <w:sz w:val="22"/>
          <w:szCs w:val="22"/>
        </w:rPr>
        <w:t xml:space="preserve">New acquisitions, joint ventures or strategic investments or partnerships could harm our operating results. </w:t>
      </w:r>
    </w:p>
    <w:p w14:paraId="4323D4B1" w14:textId="77777777" w:rsidR="00E82C3F" w:rsidRPr="00E82C3F" w:rsidRDefault="00E82C3F" w:rsidP="00E82C3F">
      <w:pPr>
        <w:spacing w:before="180"/>
        <w:ind w:firstLine="720"/>
        <w:jc w:val="both"/>
        <w:rPr>
          <w:sz w:val="22"/>
          <w:szCs w:val="22"/>
        </w:rPr>
      </w:pPr>
      <w:r w:rsidRPr="00E82C3F">
        <w:rPr>
          <w:sz w:val="22"/>
          <w:szCs w:val="22"/>
        </w:rPr>
        <w:t>We may pursue acquisitions, joint ventures or engage in strategic investments or partnerships to grow and enhance our capabilities. There can be no assurance that we will successfully consummate any acquisitions or joint ventures, or realize profit from strategic investments, or achieve desired financial and operating results. Further, such activities involve a number of risks and challenges, including proper evaluation, diversion of management’s attention and proper integration with our current business. Accordingly, we might fail to realize the expected benefits or strategic objectives of any such venture we undertake. If we are unable to complete the kind of acquisitions for which we plan, we may not be able to achieve our planned rates of growth, profitability or competitive position in specific markets or services.</w:t>
      </w:r>
    </w:p>
    <w:p w14:paraId="50A371ED" w14:textId="77777777" w:rsidR="00E82C3F" w:rsidRPr="00E82C3F" w:rsidRDefault="00E82C3F" w:rsidP="00E82C3F">
      <w:pPr>
        <w:widowControl w:val="0"/>
        <w:autoSpaceDE w:val="0"/>
        <w:autoSpaceDN w:val="0"/>
        <w:adjustRightInd w:val="0"/>
        <w:ind w:firstLine="594"/>
        <w:jc w:val="both"/>
        <w:rPr>
          <w:sz w:val="22"/>
          <w:szCs w:val="22"/>
        </w:rPr>
      </w:pPr>
    </w:p>
    <w:p w14:paraId="295672F5" w14:textId="77777777" w:rsidR="00E82C3F" w:rsidRPr="00E82C3F" w:rsidRDefault="00E82C3F" w:rsidP="00E82C3F">
      <w:pPr>
        <w:jc w:val="both"/>
        <w:rPr>
          <w:b/>
          <w:sz w:val="22"/>
          <w:szCs w:val="22"/>
        </w:rPr>
      </w:pPr>
      <w:r w:rsidRPr="00E82C3F">
        <w:rPr>
          <w:b/>
          <w:sz w:val="22"/>
          <w:szCs w:val="22"/>
        </w:rPr>
        <w:t xml:space="preserve">Our new customers may sunset their products because of lack of sufficient revenues or declining revenues, or a change in their business direction, and this may result in termination of our work for these customers.  </w:t>
      </w:r>
    </w:p>
    <w:p w14:paraId="7484DD05" w14:textId="77777777" w:rsidR="00E82C3F" w:rsidRPr="00E82C3F" w:rsidRDefault="00E82C3F" w:rsidP="00E82C3F">
      <w:pPr>
        <w:spacing w:before="180"/>
        <w:ind w:firstLine="720"/>
        <w:jc w:val="both"/>
        <w:rPr>
          <w:sz w:val="22"/>
          <w:szCs w:val="22"/>
        </w:rPr>
      </w:pPr>
      <w:r w:rsidRPr="00E82C3F">
        <w:rPr>
          <w:sz w:val="22"/>
          <w:szCs w:val="22"/>
        </w:rPr>
        <w:t xml:space="preserve">As we obtain new opportunities and win new business, our customers may not generate the level of revenues that we initially anticipated at the time of signing a contract with them. Our customers may experience declining revenues with their existing products, or may change their business direction. This could be due to various reasons beyond our or their control, and it could lead to termination of projects or contracts. As we normally invest in people and technology and incur other costs in anticipation of revenues, any such deviation from our expected plan or anticipated results could impact our margins and earnings. </w:t>
      </w:r>
    </w:p>
    <w:p w14:paraId="281FF59D" w14:textId="77777777" w:rsidR="00E82C3F" w:rsidRPr="00E82C3F" w:rsidRDefault="00E82C3F" w:rsidP="00E82C3F">
      <w:pPr>
        <w:widowControl w:val="0"/>
        <w:shd w:val="clear" w:color="auto" w:fill="FFFFFF"/>
        <w:autoSpaceDE w:val="0"/>
        <w:autoSpaceDN w:val="0"/>
        <w:adjustRightInd w:val="0"/>
        <w:ind w:left="720"/>
        <w:contextualSpacing/>
        <w:jc w:val="both"/>
        <w:textAlignment w:val="baseline"/>
        <w:rPr>
          <w:b/>
          <w:bCs/>
          <w:sz w:val="22"/>
          <w:szCs w:val="22"/>
          <w:shd w:val="clear" w:color="auto" w:fill="FFFFFF"/>
        </w:rPr>
      </w:pPr>
    </w:p>
    <w:p w14:paraId="6D1E57FB" w14:textId="77777777" w:rsidR="00E82C3F" w:rsidRPr="00E82C3F" w:rsidRDefault="00E82C3F" w:rsidP="00E82C3F">
      <w:pPr>
        <w:jc w:val="both"/>
        <w:rPr>
          <w:sz w:val="22"/>
          <w:szCs w:val="22"/>
        </w:rPr>
      </w:pPr>
      <w:r w:rsidRPr="00E82C3F">
        <w:rPr>
          <w:b/>
          <w:bCs/>
          <w:sz w:val="22"/>
          <w:szCs w:val="22"/>
        </w:rPr>
        <w:lastRenderedPageBreak/>
        <w:t xml:space="preserve">Our success is dependent on our ability to successfully develop new services, platforms and solutions and enhance our existing services, platforms and solutions, and market acceptance of these offerings. Our success is also dependent on our ability to compete with new vendors with lean cost and flexible cost models. </w:t>
      </w:r>
    </w:p>
    <w:p w14:paraId="4022311E" w14:textId="77777777" w:rsidR="00E82C3F" w:rsidRPr="00E82C3F" w:rsidRDefault="00E82C3F" w:rsidP="00E82C3F">
      <w:pPr>
        <w:widowControl w:val="0"/>
        <w:autoSpaceDE w:val="0"/>
        <w:autoSpaceDN w:val="0"/>
        <w:adjustRightInd w:val="0"/>
        <w:ind w:firstLine="720"/>
        <w:rPr>
          <w:sz w:val="22"/>
          <w:szCs w:val="22"/>
        </w:rPr>
      </w:pPr>
    </w:p>
    <w:p w14:paraId="7AC32C54"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The information technology and artificial intelligence (AI) industries are characterized by rapid technological change, evolving industry standards, changing customer preferences, new product and service introductions and the emergence of new vendors with lean cost and flexible cost models. Our future success will depend on our ability to successfully develop services, platforms and solutions that keep pace with changes in our addressable markets, and the acceptance of these services, platforms and solutions by our existing and target customers. We cannot guarantee that we will be successful in developing new services, platforms and solutions, addressing evolving technologies on a timely or cost-effective basis or, if these services, platforms and solutions are developed, that we will be successful in the marketplace. We also cannot guarantee that we will be able to compete effectively with new vendors offering lean cost and flexible cost models, or that products, services or technologies developed by others will not render our services, platforms and solutions non-competitive or obsolete. Our failure to address these developments could have a material adverse effect on our business, results of operations and financial condition. </w:t>
      </w:r>
    </w:p>
    <w:p w14:paraId="2C8889F4" w14:textId="77777777" w:rsidR="00E82C3F" w:rsidRPr="00E82C3F" w:rsidRDefault="00E82C3F" w:rsidP="00E82C3F">
      <w:pPr>
        <w:widowControl w:val="0"/>
        <w:autoSpaceDE w:val="0"/>
        <w:autoSpaceDN w:val="0"/>
        <w:adjustRightInd w:val="0"/>
        <w:jc w:val="both"/>
        <w:rPr>
          <w:b/>
          <w:bCs/>
          <w:sz w:val="22"/>
          <w:szCs w:val="22"/>
        </w:rPr>
      </w:pPr>
    </w:p>
    <w:p w14:paraId="0D211DCD" w14:textId="77777777" w:rsidR="00E82C3F" w:rsidRPr="00E82C3F" w:rsidRDefault="00E82C3F" w:rsidP="00E82C3F">
      <w:pPr>
        <w:jc w:val="both"/>
        <w:rPr>
          <w:b/>
          <w:bCs/>
          <w:sz w:val="22"/>
          <w:szCs w:val="22"/>
        </w:rPr>
      </w:pPr>
      <w:r w:rsidRPr="00E82C3F">
        <w:rPr>
          <w:b/>
          <w:bCs/>
          <w:sz w:val="22"/>
          <w:szCs w:val="22"/>
        </w:rPr>
        <w:t xml:space="preserve">We operate in highly competitive markets. While we invest in developing and pursuing new services, platforms and solutions, our profitability could be reduced if these services, platforms and solutions do not yield the profit margins we expect, or if the new offerings do not generate the planned revenues. </w:t>
      </w:r>
    </w:p>
    <w:p w14:paraId="4A80F1E0"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p>
    <w:p w14:paraId="4FCC0540"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 xml:space="preserve">The markets for our services, platforms and solutions are highly competitive. Some of our competitors have longer operating histories, significantly greater financial, human, technical and other resources and greater name recognition than we do. There are relatively few barriers preventing companies from entering the markets in which we operate. As a result, new market entrants also pose a threat to our business. We also compete with in-house personnel at current and prospective customers who may attempt to duplicate our offerings using their own personnel. </w:t>
      </w:r>
    </w:p>
    <w:p w14:paraId="60F25126" w14:textId="77777777" w:rsidR="00E82C3F" w:rsidRPr="00E82C3F" w:rsidRDefault="00E82C3F" w:rsidP="00E82C3F">
      <w:pPr>
        <w:spacing w:before="180"/>
        <w:ind w:firstLine="720"/>
        <w:jc w:val="both"/>
        <w:rPr>
          <w:sz w:val="22"/>
          <w:szCs w:val="22"/>
        </w:rPr>
      </w:pPr>
      <w:r w:rsidRPr="00E82C3F">
        <w:rPr>
          <w:sz w:val="22"/>
          <w:szCs w:val="22"/>
        </w:rPr>
        <w:t>We have made and continue to make significant investments towards building-out new capabilities to pursue growth. These investments increase our costs, and if these new capabilities do not yield the revenues or profit margins we expect, and we are unable to grow our business and revenue proportionately, our profitability may be reduced, or we may incur losses. If we are not able to compete effectively in the markets we serve or if we are not able to successfully develop new services, platforms and solutions, our revenues and results of operations could be adversely affected.</w:t>
      </w:r>
    </w:p>
    <w:p w14:paraId="4B200408" w14:textId="77777777" w:rsidR="00E82C3F" w:rsidRPr="00E82C3F" w:rsidRDefault="00E82C3F" w:rsidP="00E82C3F">
      <w:pPr>
        <w:widowControl w:val="0"/>
        <w:autoSpaceDE w:val="0"/>
        <w:autoSpaceDN w:val="0"/>
        <w:adjustRightInd w:val="0"/>
        <w:rPr>
          <w:b/>
          <w:sz w:val="22"/>
          <w:szCs w:val="22"/>
        </w:rPr>
      </w:pPr>
    </w:p>
    <w:p w14:paraId="26478FF5" w14:textId="77777777" w:rsidR="00E82C3F" w:rsidRPr="00E82C3F" w:rsidRDefault="00E82C3F" w:rsidP="00E82C3F">
      <w:pPr>
        <w:widowControl w:val="0"/>
        <w:autoSpaceDE w:val="0"/>
        <w:autoSpaceDN w:val="0"/>
        <w:adjustRightInd w:val="0"/>
        <w:rPr>
          <w:b/>
          <w:sz w:val="22"/>
          <w:szCs w:val="22"/>
        </w:rPr>
      </w:pPr>
      <w:r w:rsidRPr="00E82C3F">
        <w:rPr>
          <w:b/>
          <w:sz w:val="22"/>
          <w:szCs w:val="22"/>
        </w:rPr>
        <w:t>We depend on third-party technology in the provision of our services.</w:t>
      </w:r>
    </w:p>
    <w:p w14:paraId="226A76CF" w14:textId="77777777" w:rsidR="00E82C3F" w:rsidRPr="00E82C3F" w:rsidRDefault="00E82C3F" w:rsidP="00E82C3F">
      <w:pPr>
        <w:widowControl w:val="0"/>
        <w:autoSpaceDE w:val="0"/>
        <w:autoSpaceDN w:val="0"/>
        <w:adjustRightInd w:val="0"/>
        <w:rPr>
          <w:b/>
          <w:sz w:val="22"/>
          <w:szCs w:val="22"/>
        </w:rPr>
      </w:pPr>
    </w:p>
    <w:p w14:paraId="695C9DA4"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We rely upon certain software that we license from third parties, including software integrated with our internally developed software used in the provision of our services. These third-party software licenses may not continue to be available to us on commercially reasonable or competitive terms, if at all.  The loss of, or inability to maintain or obtain any of these software licenses, could result in delays in the provision of our services until we develop, identify, license and integrate equivalent software. Any delay in the provision of our services could damage our business and adversely affect our results of operations. In addition, our Company utilizes third party data centers to serve our customers and generate revenue. Any disruption in the provision of services from these data centers could result in loss of revenue, customer dissatisfaction and loss of customers. </w:t>
      </w:r>
    </w:p>
    <w:p w14:paraId="2118907F" w14:textId="77777777" w:rsidR="00E82C3F" w:rsidRPr="00E82C3F" w:rsidRDefault="00E82C3F" w:rsidP="00E82C3F">
      <w:pPr>
        <w:widowControl w:val="0"/>
        <w:autoSpaceDE w:val="0"/>
        <w:autoSpaceDN w:val="0"/>
        <w:adjustRightInd w:val="0"/>
        <w:jc w:val="both"/>
        <w:rPr>
          <w:sz w:val="22"/>
          <w:szCs w:val="22"/>
        </w:rPr>
      </w:pPr>
    </w:p>
    <w:p w14:paraId="466C0B8A" w14:textId="77777777" w:rsidR="00E82C3F" w:rsidRPr="00E82C3F" w:rsidRDefault="00E82C3F" w:rsidP="00E82C3F">
      <w:pPr>
        <w:widowControl w:val="0"/>
        <w:autoSpaceDE w:val="0"/>
        <w:autoSpaceDN w:val="0"/>
        <w:adjustRightInd w:val="0"/>
        <w:jc w:val="both"/>
        <w:rPr>
          <w:b/>
          <w:sz w:val="22"/>
          <w:szCs w:val="22"/>
        </w:rPr>
      </w:pPr>
      <w:r w:rsidRPr="00E82C3F">
        <w:rPr>
          <w:b/>
          <w:sz w:val="22"/>
          <w:szCs w:val="22"/>
        </w:rPr>
        <w:t xml:space="preserve">Our Agility segment relies on third parties to provide certain content and data for our solutions. The cessation by third parties to provide their content </w:t>
      </w:r>
      <w:r w:rsidRPr="00E82C3F">
        <w:rPr>
          <w:b/>
          <w:bCs/>
          <w:spacing w:val="-2"/>
          <w:sz w:val="22"/>
          <w:szCs w:val="22"/>
        </w:rPr>
        <w:t>has adversely affected, and could in the future adversely affect</w:t>
      </w:r>
      <w:r w:rsidRPr="00E82C3F">
        <w:rPr>
          <w:b/>
          <w:sz w:val="22"/>
          <w:szCs w:val="22"/>
        </w:rPr>
        <w:t xml:space="preserve">, our revenue and results of operations. </w:t>
      </w:r>
    </w:p>
    <w:p w14:paraId="3A0377D6" w14:textId="77777777" w:rsidR="00E82C3F" w:rsidRPr="00E82C3F" w:rsidRDefault="00E82C3F" w:rsidP="00E82C3F">
      <w:pPr>
        <w:widowControl w:val="0"/>
        <w:autoSpaceDE w:val="0"/>
        <w:autoSpaceDN w:val="0"/>
        <w:adjustRightInd w:val="0"/>
        <w:jc w:val="both"/>
        <w:rPr>
          <w:b/>
          <w:sz w:val="22"/>
          <w:szCs w:val="22"/>
        </w:rPr>
      </w:pPr>
    </w:p>
    <w:p w14:paraId="32192A41"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Our Agility segment relies on third parties to provide or make available certain data for our information databases and our news and social media monitoring service. These third parties, in the past, have restricted </w:t>
      </w:r>
      <w:r w:rsidRPr="00E82C3F">
        <w:rPr>
          <w:sz w:val="22"/>
          <w:szCs w:val="22"/>
        </w:rPr>
        <w:lastRenderedPageBreak/>
        <w:t xml:space="preserve">access to certain content and may not renew agreements to provide content to us or may increase the price they charge for their content. Additionally, the quality of the content provided to us may not be acceptable to us and we may need to enter into agreements with additional third parties. In the event we are unable to use or have access to such third-party content or are unable to enter into agreements with new third parties, current customers may discontinue their relationship with us, and it may be difficult to acquire new customers. </w:t>
      </w:r>
    </w:p>
    <w:p w14:paraId="0A76CD78" w14:textId="77777777" w:rsidR="00E82C3F" w:rsidRPr="00E82C3F" w:rsidRDefault="00E82C3F" w:rsidP="00E82C3F">
      <w:pPr>
        <w:widowControl w:val="0"/>
        <w:autoSpaceDE w:val="0"/>
        <w:autoSpaceDN w:val="0"/>
        <w:adjustRightInd w:val="0"/>
        <w:jc w:val="both"/>
        <w:rPr>
          <w:sz w:val="22"/>
          <w:szCs w:val="22"/>
        </w:rPr>
      </w:pPr>
    </w:p>
    <w:p w14:paraId="0AB51D82" w14:textId="77777777" w:rsidR="00E82C3F" w:rsidRPr="00E82C3F" w:rsidRDefault="00E82C3F" w:rsidP="00E82C3F">
      <w:pPr>
        <w:widowControl w:val="0"/>
        <w:autoSpaceDE w:val="0"/>
        <w:autoSpaceDN w:val="0"/>
        <w:adjustRightInd w:val="0"/>
        <w:jc w:val="both"/>
        <w:rPr>
          <w:b/>
          <w:sz w:val="22"/>
          <w:szCs w:val="22"/>
        </w:rPr>
      </w:pPr>
      <w:r w:rsidRPr="00E82C3F">
        <w:rPr>
          <w:b/>
          <w:sz w:val="22"/>
          <w:szCs w:val="22"/>
        </w:rPr>
        <w:t xml:space="preserve">Our businesses are reliant on key employees, and we may face high attrition in our talent. We may not be able to replace displaced talent with new talent on a timely basis or with equivalent skill sets. </w:t>
      </w:r>
    </w:p>
    <w:p w14:paraId="6139BE72" w14:textId="77777777" w:rsidR="00E82C3F" w:rsidRPr="00E82C3F" w:rsidRDefault="00E82C3F" w:rsidP="00E82C3F">
      <w:pPr>
        <w:widowControl w:val="0"/>
        <w:autoSpaceDE w:val="0"/>
        <w:autoSpaceDN w:val="0"/>
        <w:adjustRightInd w:val="0"/>
        <w:jc w:val="both"/>
        <w:rPr>
          <w:sz w:val="22"/>
          <w:szCs w:val="22"/>
        </w:rPr>
      </w:pPr>
    </w:p>
    <w:p w14:paraId="7F4BFA6B"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We are, to a considerable degree, reliant on the continuing leadership of our Chief Executive Officer and would be materially and adversely affected should he unexpectedly cease to be employed by us. In addition, our businesses are subject to fierce competition for talent, which could result in high attrition of our employees, or we may not be able to find the requisite talent to operate our businesses. </w:t>
      </w:r>
      <w:r w:rsidRPr="00E82C3F">
        <w:rPr>
          <w:spacing w:val="-2"/>
          <w:sz w:val="22"/>
          <w:szCs w:val="22"/>
        </w:rPr>
        <w:t>A significant increase in the attrition rate among employees with specialized skills could decrease our operating efficiency and productivity.</w:t>
      </w:r>
      <w:r w:rsidRPr="00E82C3F">
        <w:rPr>
          <w:sz w:val="22"/>
          <w:szCs w:val="22"/>
        </w:rPr>
        <w:t xml:space="preserve"> Our failure to attract, train and retain personnel with the qualifications necessary to fulfill the needs of our existing and future customers or to assimilate new employees successfully could have a material adverse effect on our business, results of operations, financial condition and cash flows.</w:t>
      </w:r>
      <w:r w:rsidRPr="00E82C3F">
        <w:rPr>
          <w:spacing w:val="-2"/>
          <w:sz w:val="22"/>
          <w:szCs w:val="22"/>
        </w:rPr>
        <w:t xml:space="preserve"> </w:t>
      </w:r>
      <w:r w:rsidRPr="00E82C3F">
        <w:rPr>
          <w:sz w:val="22"/>
          <w:szCs w:val="22"/>
        </w:rPr>
        <w:t xml:space="preserve">In addition, fluctuations in our business may require that we lay off employees with possible negative effects on employee morale. We try to minimize these risks by actively promoting employee relationships and offering competitive salaries, but if we cannot mitigate these risks, our business and our operating performance could be adversely affected. </w:t>
      </w:r>
    </w:p>
    <w:p w14:paraId="20D2E75D"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p>
    <w:p w14:paraId="5602A470"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spacing w:val="-2"/>
          <w:sz w:val="22"/>
          <w:szCs w:val="22"/>
        </w:rPr>
      </w:pPr>
      <w:r w:rsidRPr="00E82C3F">
        <w:rPr>
          <w:b/>
          <w:spacing w:val="-2"/>
          <w:sz w:val="22"/>
          <w:szCs w:val="22"/>
        </w:rPr>
        <w:t xml:space="preserve">We operate from multiple locations and our employees are very diverse, so we have significant coordination risks. </w:t>
      </w:r>
    </w:p>
    <w:p w14:paraId="3E6B4BBB"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3545261E" w14:textId="7328C2EC" w:rsidR="00E82C3F" w:rsidRPr="00E82C3F" w:rsidRDefault="00E82C3F" w:rsidP="00E82C3F">
      <w:pPr>
        <w:widowControl w:val="0"/>
        <w:tabs>
          <w:tab w:val="left" w:pos="0"/>
        </w:tabs>
        <w:autoSpaceDE w:val="0"/>
        <w:autoSpaceDN w:val="0"/>
        <w:adjustRightInd w:val="0"/>
        <w:ind w:firstLine="720"/>
        <w:jc w:val="both"/>
        <w:rPr>
          <w:sz w:val="22"/>
          <w:szCs w:val="22"/>
        </w:rPr>
      </w:pPr>
      <w:r w:rsidRPr="00E82C3F">
        <w:rPr>
          <w:sz w:val="22"/>
          <w:szCs w:val="22"/>
        </w:rPr>
        <w:t xml:space="preserve">We are headquartered in Ridgefield Park, New Jersey, just outside New York City. We have delivery centers in the Philippines, India, Sri Lanka, Canada, the United Kingdom, Israel, and Germany. Our employees are geographically dispersed, as well as culturally diverse. Our personnel need to work together to successfully execute our business plans and we invest in various measures to improve coordination and teamwork. Should we fail in these efforts, our ability to execute our business plans may be adversely affected.  </w:t>
      </w:r>
    </w:p>
    <w:p w14:paraId="38D416EE" w14:textId="77777777" w:rsidR="00E82C3F" w:rsidRPr="00E82C3F" w:rsidRDefault="00E82C3F" w:rsidP="00E82C3F">
      <w:pPr>
        <w:widowControl w:val="0"/>
        <w:shd w:val="clear" w:color="auto" w:fill="FFFFFF"/>
        <w:autoSpaceDE w:val="0"/>
        <w:autoSpaceDN w:val="0"/>
        <w:adjustRightInd w:val="0"/>
        <w:jc w:val="both"/>
        <w:textAlignment w:val="baseline"/>
        <w:rPr>
          <w:b/>
          <w:bCs/>
          <w:sz w:val="22"/>
          <w:szCs w:val="22"/>
          <w:shd w:val="clear" w:color="auto" w:fill="FFFFFF"/>
        </w:rPr>
      </w:pPr>
    </w:p>
    <w:p w14:paraId="3B806D9F"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spacing w:val="-2"/>
          <w:sz w:val="22"/>
          <w:szCs w:val="22"/>
        </w:rPr>
      </w:pPr>
      <w:r w:rsidRPr="00E82C3F">
        <w:rPr>
          <w:b/>
          <w:spacing w:val="-2"/>
          <w:sz w:val="22"/>
          <w:szCs w:val="22"/>
        </w:rPr>
        <w:t>Our intellectual property rights are valuable and if we are unable to protect them or are subject to intellectual property rights claims, our business may be harmed.</w:t>
      </w:r>
    </w:p>
    <w:p w14:paraId="48FA3957"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p>
    <w:p w14:paraId="42768A82"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Our intellectual property rights include certain trademarks, trade secrets, domain name registrations, a patent and patent applications. Although we take precautions to protect our intellectual property rights, these efforts may not be sufficient or effective. If we are unable to protect our intellectual property, we may experience difficulties in achieving and maintaining brand recognition.</w:t>
      </w:r>
    </w:p>
    <w:p w14:paraId="58AC7724" w14:textId="77777777" w:rsidR="00E82C3F" w:rsidRPr="00E82C3F" w:rsidRDefault="00E82C3F" w:rsidP="00E82C3F">
      <w:pPr>
        <w:widowControl w:val="0"/>
        <w:shd w:val="clear" w:color="auto" w:fill="FFFFFF"/>
        <w:autoSpaceDE w:val="0"/>
        <w:autoSpaceDN w:val="0"/>
        <w:adjustRightInd w:val="0"/>
        <w:jc w:val="both"/>
        <w:textAlignment w:val="baseline"/>
        <w:rPr>
          <w:b/>
          <w:bCs/>
          <w:sz w:val="22"/>
          <w:szCs w:val="22"/>
          <w:shd w:val="clear" w:color="auto" w:fill="FFFFFF"/>
        </w:rPr>
      </w:pPr>
    </w:p>
    <w:p w14:paraId="6B6378B7" w14:textId="77777777" w:rsidR="00E82C3F" w:rsidRPr="00E82C3F" w:rsidRDefault="00E82C3F" w:rsidP="00E82C3F">
      <w:pPr>
        <w:jc w:val="both"/>
        <w:rPr>
          <w:sz w:val="22"/>
          <w:szCs w:val="22"/>
        </w:rPr>
      </w:pPr>
      <w:r w:rsidRPr="00E82C3F">
        <w:rPr>
          <w:b/>
          <w:bCs/>
          <w:iCs/>
          <w:sz w:val="22"/>
          <w:szCs w:val="22"/>
        </w:rPr>
        <w:t>Disruptions in telecommunications, system failures, data corruption or virus attacks could harm our ability to execute our global resource model, which could result in customer dissatisfaction and a reduction of our revenues.</w:t>
      </w:r>
    </w:p>
    <w:p w14:paraId="621B001C" w14:textId="77777777" w:rsidR="00E82C3F" w:rsidRPr="00E82C3F" w:rsidRDefault="00E82C3F" w:rsidP="00E82C3F">
      <w:pPr>
        <w:spacing w:before="180"/>
        <w:ind w:firstLine="720"/>
        <w:jc w:val="both"/>
        <w:rPr>
          <w:sz w:val="22"/>
          <w:szCs w:val="22"/>
        </w:rPr>
      </w:pPr>
      <w:r w:rsidRPr="00E82C3F">
        <w:rPr>
          <w:sz w:val="22"/>
          <w:szCs w:val="22"/>
        </w:rPr>
        <w:t>We use a distributed global resource model. Our North American workforce provides services from the U.S. and Canada, and the balance of our workforce provides services from the Philippines, India, Sri Lanka, the United Kingdom, Israel and Germany. Our global facilities are linked with a telecommunications network that uses multiple service providers. We may not be able to maintain active voice and data communications between our various facilities and our customers' sites at all times due to disruptions in these networks, system failures, data corruption or virus attacks. Any significant failure in our ability to communicate, or the availability of our platforms, could result in a disruption in our business, which could hinder our performance, or our ability to complete customer projects on time, or provide services to our customers. This, in turn, could lead to customer dissatisfaction and an adverse effect on our business, results of operations and financial condition.</w:t>
      </w:r>
    </w:p>
    <w:p w14:paraId="40E02749" w14:textId="77777777" w:rsidR="00E82C3F" w:rsidRPr="00E82C3F" w:rsidRDefault="00E82C3F" w:rsidP="00E82C3F">
      <w:pPr>
        <w:widowControl w:val="0"/>
        <w:autoSpaceDE w:val="0"/>
        <w:autoSpaceDN w:val="0"/>
        <w:adjustRightInd w:val="0"/>
        <w:rPr>
          <w:b/>
          <w:bCs/>
          <w:iCs/>
          <w:sz w:val="22"/>
          <w:szCs w:val="22"/>
        </w:rPr>
      </w:pPr>
    </w:p>
    <w:p w14:paraId="724FF1AF" w14:textId="77777777" w:rsidR="00E82C3F" w:rsidRPr="00E82C3F" w:rsidRDefault="00E82C3F" w:rsidP="00E82C3F">
      <w:pPr>
        <w:widowControl w:val="0"/>
        <w:autoSpaceDE w:val="0"/>
        <w:autoSpaceDN w:val="0"/>
        <w:adjustRightInd w:val="0"/>
        <w:ind w:firstLine="720"/>
        <w:jc w:val="both"/>
        <w:rPr>
          <w:bCs/>
          <w:sz w:val="22"/>
          <w:szCs w:val="22"/>
        </w:rPr>
      </w:pPr>
      <w:r w:rsidRPr="00E82C3F">
        <w:rPr>
          <w:bCs/>
          <w:sz w:val="22"/>
          <w:szCs w:val="22"/>
        </w:rPr>
        <w:t xml:space="preserve">Even though we have implemented network security measures, our information technology systems </w:t>
      </w:r>
      <w:r w:rsidRPr="00E82C3F">
        <w:rPr>
          <w:bCs/>
          <w:sz w:val="22"/>
          <w:szCs w:val="22"/>
        </w:rPr>
        <w:lastRenderedPageBreak/>
        <w:t>may be vulnerable to computer viruses, cyber-attacks, break-ins and similar disruptions from unauthorized tampering or intentional and unintentional disclosure of sensitive and / or confidential personal information by employees and non-employees. Additionally, the Company may not be able to effectively identify and resolve such issues on a timely basis. The occurrence of any of the events described above could result in interruptions, delays, the loss or corruption of data, cessations in the availability of systems or liability under privacy laws or contracts, each of which could have a material adverse effect on our financial position and results of operations.</w:t>
      </w:r>
    </w:p>
    <w:p w14:paraId="7FF7C26D" w14:textId="77777777" w:rsidR="00E82C3F" w:rsidRPr="00E82C3F" w:rsidRDefault="00E82C3F" w:rsidP="00E82C3F">
      <w:pPr>
        <w:widowControl w:val="0"/>
        <w:autoSpaceDE w:val="0"/>
        <w:autoSpaceDN w:val="0"/>
        <w:adjustRightInd w:val="0"/>
        <w:jc w:val="both"/>
        <w:rPr>
          <w:sz w:val="22"/>
          <w:szCs w:val="22"/>
        </w:rPr>
      </w:pPr>
    </w:p>
    <w:p w14:paraId="5EEAD98A"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r w:rsidRPr="00E82C3F">
        <w:rPr>
          <w:b/>
          <w:bCs/>
          <w:spacing w:val="-2"/>
          <w:sz w:val="22"/>
          <w:szCs w:val="22"/>
        </w:rPr>
        <w:t>Our international operations subject us to risks inherent in doing business on an international level, any of which could increase our costs and hinder our growth.</w:t>
      </w:r>
    </w:p>
    <w:p w14:paraId="72A86C67"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4253B37D"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 xml:space="preserve">The major part of our operations is carried on in the Philippines, India, Sri Lanka, Canada, the United Kingdom, Israel, and Germany, while our headquarters are in the U.S., and our customers are primarily located in North America and Europe. While we do not depend on significant revenues from sources internal to the Asian countries in which we operate, we are nevertheless subject to certain adverse economic factors relating to overseas economies generally, including inflation, external debt, a negative balance of trade and underemployment. In certain of the countries in which we operate, tax authorities have exercised, and may continue to exercise, significant discretionary and arbitrary powers to make tax demands or decline to refund payments that may be due to us as per tax returns. Other risks associated with our international business activities include: </w:t>
      </w:r>
    </w:p>
    <w:p w14:paraId="201996DB"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10BD1E3D"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180" w:hanging="180"/>
        <w:jc w:val="both"/>
        <w:rPr>
          <w:spacing w:val="-2"/>
          <w:sz w:val="22"/>
          <w:szCs w:val="22"/>
        </w:rPr>
      </w:pPr>
      <w:r w:rsidRPr="00E82C3F">
        <w:rPr>
          <w:spacing w:val="-2"/>
          <w:sz w:val="22"/>
          <w:szCs w:val="22"/>
        </w:rPr>
        <w:t>•</w:t>
      </w:r>
      <w:r w:rsidRPr="00E82C3F">
        <w:rPr>
          <w:sz w:val="22"/>
          <w:szCs w:val="22"/>
        </w:rPr>
        <w:t xml:space="preserve"> </w:t>
      </w:r>
      <w:r w:rsidRPr="00E82C3F">
        <w:rPr>
          <w:spacing w:val="-2"/>
          <w:sz w:val="22"/>
          <w:szCs w:val="22"/>
        </w:rPr>
        <w:t xml:space="preserve">difficulties in staffing international projects and managing international operations, including overcoming logistical and communications challenges; </w:t>
      </w:r>
    </w:p>
    <w:p w14:paraId="423DB2FF" w14:textId="77777777" w:rsidR="00E82C3F" w:rsidRPr="00E82C3F" w:rsidRDefault="00E82C3F" w:rsidP="00E82C3F">
      <w:pPr>
        <w:widowControl w:val="0"/>
        <w:tabs>
          <w:tab w:val="left" w:pos="-720"/>
        </w:tabs>
        <w:suppressAutoHyphens/>
        <w:autoSpaceDE w:val="0"/>
        <w:autoSpaceDN w:val="0"/>
        <w:adjustRightInd w:val="0"/>
        <w:spacing w:line="240" w:lineRule="atLeast"/>
        <w:ind w:hanging="720"/>
        <w:jc w:val="both"/>
        <w:rPr>
          <w:spacing w:val="-2"/>
          <w:sz w:val="22"/>
          <w:szCs w:val="22"/>
        </w:rPr>
      </w:pPr>
    </w:p>
    <w:p w14:paraId="5408BA40"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r w:rsidRPr="00E82C3F">
        <w:rPr>
          <w:spacing w:val="-2"/>
          <w:sz w:val="22"/>
          <w:szCs w:val="22"/>
        </w:rPr>
        <w:t xml:space="preserve">•  local competition, particularly in the Philippines, India and Sri Lanka; </w:t>
      </w:r>
    </w:p>
    <w:p w14:paraId="6DDE0C61"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7A8DCAFD"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r w:rsidRPr="00E82C3F">
        <w:rPr>
          <w:spacing w:val="-2"/>
          <w:sz w:val="22"/>
          <w:szCs w:val="22"/>
        </w:rPr>
        <w:t xml:space="preserve">•  imposition of public sector controls; </w:t>
      </w:r>
    </w:p>
    <w:p w14:paraId="2CB13F87"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26DEDC03"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r w:rsidRPr="00E82C3F">
        <w:rPr>
          <w:spacing w:val="-2"/>
          <w:sz w:val="22"/>
          <w:szCs w:val="22"/>
        </w:rPr>
        <w:t xml:space="preserve">•  trade and tariff restrictions; </w:t>
      </w:r>
    </w:p>
    <w:p w14:paraId="4EAB1AE2"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153327FF"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r w:rsidRPr="00E82C3F">
        <w:rPr>
          <w:spacing w:val="-2"/>
          <w:sz w:val="22"/>
          <w:szCs w:val="22"/>
        </w:rPr>
        <w:t xml:space="preserve">•  price or exchange controls; </w:t>
      </w:r>
    </w:p>
    <w:p w14:paraId="66921795"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0D9FA6F1"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r w:rsidRPr="00E82C3F">
        <w:rPr>
          <w:spacing w:val="-2"/>
          <w:sz w:val="22"/>
          <w:szCs w:val="22"/>
        </w:rPr>
        <w:t xml:space="preserve">•  currency control regulations; </w:t>
      </w:r>
    </w:p>
    <w:p w14:paraId="40D43009"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2743A3DC"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r w:rsidRPr="00E82C3F">
        <w:rPr>
          <w:spacing w:val="-2"/>
          <w:sz w:val="22"/>
          <w:szCs w:val="22"/>
        </w:rPr>
        <w:t xml:space="preserve">•  foreign tax consequences; </w:t>
      </w:r>
    </w:p>
    <w:p w14:paraId="68F1F98C"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p>
    <w:p w14:paraId="25FF6CC4"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r w:rsidRPr="00E82C3F">
        <w:rPr>
          <w:spacing w:val="-2"/>
          <w:sz w:val="22"/>
          <w:szCs w:val="22"/>
        </w:rPr>
        <w:t>•  data privacy laws and regulations;</w:t>
      </w:r>
    </w:p>
    <w:p w14:paraId="52FC6D2D"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p>
    <w:p w14:paraId="38F5263F"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r w:rsidRPr="00E82C3F">
        <w:rPr>
          <w:spacing w:val="-2"/>
          <w:sz w:val="22"/>
          <w:szCs w:val="22"/>
        </w:rPr>
        <w:t xml:space="preserve">•  labor disputes and related litigation and liability; </w:t>
      </w:r>
    </w:p>
    <w:p w14:paraId="2FC922FE"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p>
    <w:p w14:paraId="52503786"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r w:rsidRPr="00E82C3F">
        <w:rPr>
          <w:spacing w:val="-2"/>
          <w:sz w:val="22"/>
          <w:szCs w:val="22"/>
        </w:rPr>
        <w:t>•  intellectual property laws and enforcement practices;</w:t>
      </w:r>
    </w:p>
    <w:p w14:paraId="6A6EF3EE"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p>
    <w:p w14:paraId="3D90F303"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r w:rsidRPr="00E82C3F">
        <w:rPr>
          <w:spacing w:val="-2"/>
          <w:sz w:val="22"/>
          <w:szCs w:val="22"/>
        </w:rPr>
        <w:t>•  limitations on repatriation of earnings; and</w:t>
      </w:r>
    </w:p>
    <w:p w14:paraId="7CC79619"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p>
    <w:p w14:paraId="0FD63F63"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spacing w:val="-2"/>
          <w:sz w:val="22"/>
          <w:szCs w:val="22"/>
        </w:rPr>
      </w:pPr>
      <w:r w:rsidRPr="00E82C3F">
        <w:rPr>
          <w:spacing w:val="-2"/>
          <w:sz w:val="22"/>
          <w:szCs w:val="22"/>
        </w:rPr>
        <w:t>•  changing laws and regulations, occasionally with retroactive effect.</w:t>
      </w:r>
    </w:p>
    <w:p w14:paraId="294A67A6"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26770500"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r w:rsidRPr="00E82C3F">
        <w:rPr>
          <w:spacing w:val="-2"/>
          <w:sz w:val="22"/>
          <w:szCs w:val="22"/>
        </w:rPr>
        <w:t xml:space="preserve">One or more of these factors could adversely affect our business, financial condition and results of operations. </w:t>
      </w:r>
    </w:p>
    <w:p w14:paraId="3F07A598"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236894D5" w14:textId="77777777" w:rsidR="00E82C3F" w:rsidRPr="00E82C3F" w:rsidRDefault="00E82C3F" w:rsidP="00E82C3F">
      <w:pPr>
        <w:widowControl w:val="0"/>
        <w:autoSpaceDE w:val="0"/>
        <w:autoSpaceDN w:val="0"/>
        <w:adjustRightInd w:val="0"/>
        <w:jc w:val="both"/>
        <w:rPr>
          <w:b/>
          <w:sz w:val="22"/>
          <w:szCs w:val="22"/>
        </w:rPr>
      </w:pPr>
      <w:r w:rsidRPr="00E82C3F">
        <w:rPr>
          <w:b/>
          <w:sz w:val="22"/>
          <w:szCs w:val="22"/>
        </w:rPr>
        <w:t>Political uncertainty, political unrest, terrorism, and natural calamities in the Philippines, India, Sri Lanka and Israel could adversely affect business conditions in those countries, which in turn could disrupt our business and adversely impact our results of operations and financial condition.</w:t>
      </w:r>
    </w:p>
    <w:p w14:paraId="7E227655" w14:textId="77777777" w:rsidR="00E82C3F" w:rsidRPr="00E82C3F" w:rsidRDefault="00E82C3F" w:rsidP="00E82C3F">
      <w:pPr>
        <w:widowControl w:val="0"/>
        <w:autoSpaceDE w:val="0"/>
        <w:autoSpaceDN w:val="0"/>
        <w:adjustRightInd w:val="0"/>
        <w:jc w:val="both"/>
        <w:rPr>
          <w:b/>
          <w:sz w:val="22"/>
          <w:szCs w:val="22"/>
        </w:rPr>
      </w:pPr>
    </w:p>
    <w:p w14:paraId="0B229B9C"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Our operations located in the Philippines, India, Sri Lanka and Israel are in countries that remain vulnerable to disruptions from political uncertainty, political unrest, terrorist acts, and natural calamities.</w:t>
      </w:r>
    </w:p>
    <w:p w14:paraId="49B8658C" w14:textId="77777777" w:rsidR="00E82C3F" w:rsidRPr="00E82C3F" w:rsidRDefault="00E82C3F" w:rsidP="00E82C3F">
      <w:pPr>
        <w:widowControl w:val="0"/>
        <w:autoSpaceDE w:val="0"/>
        <w:autoSpaceDN w:val="0"/>
        <w:adjustRightInd w:val="0"/>
        <w:ind w:firstLine="720"/>
        <w:jc w:val="both"/>
        <w:rPr>
          <w:sz w:val="22"/>
          <w:szCs w:val="22"/>
        </w:rPr>
      </w:pPr>
    </w:p>
    <w:p w14:paraId="421C7657"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lastRenderedPageBreak/>
        <w:t xml:space="preserve">Any damage to our network and/or information systems would damage our ability to provide services, in whole or in part, and/or otherwise damage our operations and could have an adverse effect on our business, financial condition or results of operations. Further, political tensions and escalation of hostilities in any of these countries could adversely affect our operations in these countries and therefore adversely affect our revenues and results of operations. </w:t>
      </w:r>
    </w:p>
    <w:p w14:paraId="58F4B036" w14:textId="77777777" w:rsidR="00E82C3F" w:rsidRPr="00E82C3F" w:rsidRDefault="00E82C3F" w:rsidP="00E82C3F">
      <w:pPr>
        <w:widowControl w:val="0"/>
        <w:autoSpaceDE w:val="0"/>
        <w:autoSpaceDN w:val="0"/>
        <w:adjustRightInd w:val="0"/>
        <w:ind w:firstLine="720"/>
        <w:jc w:val="both"/>
        <w:rPr>
          <w:sz w:val="22"/>
          <w:szCs w:val="22"/>
        </w:rPr>
      </w:pPr>
    </w:p>
    <w:p w14:paraId="3E18E1D5"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r w:rsidRPr="00E82C3F">
        <w:rPr>
          <w:b/>
          <w:bCs/>
          <w:spacing w:val="-2"/>
          <w:sz w:val="22"/>
          <w:szCs w:val="22"/>
        </w:rPr>
        <w:t>Our global operations expose us to risks associated with public health crises.</w:t>
      </w:r>
    </w:p>
    <w:p w14:paraId="5B9C7687"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p>
    <w:p w14:paraId="1C7C0431" w14:textId="77777777" w:rsidR="00E82C3F" w:rsidRPr="00E82C3F" w:rsidRDefault="00E82C3F" w:rsidP="00E82C3F">
      <w:pPr>
        <w:widowControl w:val="0"/>
        <w:autoSpaceDE w:val="0"/>
        <w:autoSpaceDN w:val="0"/>
        <w:adjustRightInd w:val="0"/>
        <w:ind w:firstLine="720"/>
        <w:jc w:val="both"/>
        <w:rPr>
          <w:sz w:val="22"/>
          <w:szCs w:val="22"/>
          <w:shd w:val="clear" w:color="auto" w:fill="FFFFFF"/>
        </w:rPr>
      </w:pPr>
      <w:r w:rsidRPr="00E82C3F">
        <w:rPr>
          <w:sz w:val="22"/>
          <w:szCs w:val="22"/>
        </w:rPr>
        <w:t>We use a distributed global resource model, which exposes us to risks associated with public health crises, such as pandemics and epidemics. A public health crisis in one or more of the geographic areas in which we operate could affect our ability to provide services to our customers and adversely affect our results of operations.</w:t>
      </w:r>
      <w:r w:rsidRPr="00E82C3F">
        <w:rPr>
          <w:sz w:val="22"/>
          <w:szCs w:val="22"/>
          <w:shd w:val="clear" w:color="auto" w:fill="FFFFFF"/>
        </w:rPr>
        <w:t xml:space="preserve"> </w:t>
      </w:r>
    </w:p>
    <w:p w14:paraId="5CB99BE6" w14:textId="77777777" w:rsidR="00E82C3F" w:rsidRDefault="00E82C3F" w:rsidP="00E82C3F">
      <w:pPr>
        <w:widowControl w:val="0"/>
        <w:autoSpaceDE w:val="0"/>
        <w:autoSpaceDN w:val="0"/>
        <w:adjustRightInd w:val="0"/>
        <w:jc w:val="both"/>
        <w:rPr>
          <w:sz w:val="22"/>
          <w:szCs w:val="22"/>
          <w:shd w:val="clear" w:color="auto" w:fill="FFFFFF"/>
        </w:rPr>
      </w:pPr>
    </w:p>
    <w:p w14:paraId="5FE026D3" w14:textId="77777777" w:rsidR="00706739" w:rsidRPr="00E82C3F" w:rsidRDefault="00706739" w:rsidP="00E82C3F">
      <w:pPr>
        <w:widowControl w:val="0"/>
        <w:autoSpaceDE w:val="0"/>
        <w:autoSpaceDN w:val="0"/>
        <w:adjustRightInd w:val="0"/>
        <w:jc w:val="both"/>
        <w:rPr>
          <w:sz w:val="22"/>
          <w:szCs w:val="22"/>
          <w:shd w:val="clear" w:color="auto" w:fill="FFFFFF"/>
        </w:rPr>
      </w:pPr>
    </w:p>
    <w:p w14:paraId="579EA710" w14:textId="77777777" w:rsidR="00E82C3F" w:rsidRPr="00E82C3F" w:rsidRDefault="00E82C3F" w:rsidP="00E82C3F">
      <w:pPr>
        <w:jc w:val="both"/>
        <w:rPr>
          <w:sz w:val="22"/>
          <w:szCs w:val="22"/>
        </w:rPr>
      </w:pPr>
      <w:r w:rsidRPr="00E82C3F">
        <w:rPr>
          <w:b/>
          <w:bCs/>
          <w:sz w:val="22"/>
          <w:szCs w:val="22"/>
        </w:rPr>
        <w:t>The continuing effects of the COVID-19 pandemic could materially adversely affect our results of operations and financial condition.</w:t>
      </w:r>
    </w:p>
    <w:p w14:paraId="7C7BE8DA" w14:textId="77777777" w:rsidR="00E82C3F" w:rsidRPr="00E82C3F" w:rsidRDefault="00E82C3F" w:rsidP="00E82C3F">
      <w:pPr>
        <w:ind w:firstLine="720"/>
        <w:jc w:val="both"/>
        <w:rPr>
          <w:sz w:val="22"/>
          <w:szCs w:val="22"/>
        </w:rPr>
      </w:pPr>
    </w:p>
    <w:p w14:paraId="38A0DD72" w14:textId="7D9FFEBC" w:rsidR="00E82C3F" w:rsidRPr="00E82C3F" w:rsidRDefault="00E82C3F" w:rsidP="00E82C3F">
      <w:pPr>
        <w:ind w:firstLine="720"/>
        <w:jc w:val="both"/>
        <w:rPr>
          <w:sz w:val="22"/>
          <w:szCs w:val="22"/>
        </w:rPr>
      </w:pPr>
      <w:r w:rsidRPr="00E82C3F">
        <w:rPr>
          <w:sz w:val="22"/>
          <w:szCs w:val="22"/>
        </w:rPr>
        <w:t xml:space="preserve">The novel coronavirus disease 2019 (“COVID-19”), which the World Health Organization declared a pandemic on March 11, 2020, continues to spread throughout the world. COVID-19 has created significant global economic downturn, disrupted global trade and supply chains, adversely impacted many industries, and contributed to significant volatility in financial markets. In response to COVID-19, countries and local governments have at times imposed restrictions on the operations of non-essential businesses and services, imposed travel restrictions and implemented societal lockdowns. Additionally, companies </w:t>
      </w:r>
      <w:r w:rsidR="00CB1DC8">
        <w:rPr>
          <w:sz w:val="22"/>
          <w:szCs w:val="22"/>
        </w:rPr>
        <w:t>have</w:t>
      </w:r>
      <w:r w:rsidR="00CB1DC8" w:rsidRPr="00E82C3F">
        <w:rPr>
          <w:sz w:val="22"/>
          <w:szCs w:val="22"/>
        </w:rPr>
        <w:t xml:space="preserve"> </w:t>
      </w:r>
      <w:r w:rsidR="00B72B4B">
        <w:rPr>
          <w:sz w:val="22"/>
          <w:szCs w:val="22"/>
        </w:rPr>
        <w:t xml:space="preserve">at times </w:t>
      </w:r>
      <w:r w:rsidR="00CB1DC8" w:rsidRPr="00E82C3F">
        <w:rPr>
          <w:sz w:val="22"/>
          <w:szCs w:val="22"/>
        </w:rPr>
        <w:t>tak</w:t>
      </w:r>
      <w:r w:rsidR="00CB1DC8">
        <w:rPr>
          <w:sz w:val="22"/>
          <w:szCs w:val="22"/>
        </w:rPr>
        <w:t>en</w:t>
      </w:r>
      <w:r w:rsidR="00CB1DC8" w:rsidRPr="00E82C3F">
        <w:rPr>
          <w:sz w:val="22"/>
          <w:szCs w:val="22"/>
        </w:rPr>
        <w:t xml:space="preserve"> </w:t>
      </w:r>
      <w:r w:rsidRPr="00E82C3F">
        <w:rPr>
          <w:sz w:val="22"/>
          <w:szCs w:val="22"/>
        </w:rPr>
        <w:t xml:space="preserve">precautions, such as requiring employees to work remotely and temporarily closing businesses. All of these factors have had, and </w:t>
      </w:r>
      <w:r w:rsidR="00CB1DC8">
        <w:rPr>
          <w:sz w:val="22"/>
          <w:szCs w:val="22"/>
        </w:rPr>
        <w:t>may</w:t>
      </w:r>
      <w:r w:rsidRPr="00E82C3F">
        <w:rPr>
          <w:sz w:val="22"/>
          <w:szCs w:val="22"/>
        </w:rPr>
        <w:t xml:space="preserve"> continue to have, a</w:t>
      </w:r>
      <w:r w:rsidR="00CB1DC8">
        <w:rPr>
          <w:sz w:val="22"/>
          <w:szCs w:val="22"/>
        </w:rPr>
        <w:t>n</w:t>
      </w:r>
      <w:r w:rsidRPr="00E82C3F">
        <w:rPr>
          <w:sz w:val="22"/>
          <w:szCs w:val="22"/>
        </w:rPr>
        <w:t xml:space="preserve"> adverse effect on global economic conditions, underemployment and unemployment, consumer spending and reductions in non-essential spending by governments and private companies, as well as uncertainty in financial markets. We have experienced limited operational disruptions and declines in customer demand for services to date</w:t>
      </w:r>
      <w:r w:rsidR="00CB1DC8">
        <w:rPr>
          <w:sz w:val="22"/>
          <w:szCs w:val="22"/>
        </w:rPr>
        <w:t xml:space="preserve"> as a result of COVID-19</w:t>
      </w:r>
      <w:r w:rsidRPr="00E82C3F">
        <w:rPr>
          <w:sz w:val="22"/>
          <w:szCs w:val="22"/>
        </w:rPr>
        <w:t>; however, depending upon the  evolution of the COVID-19 pandemic, including the introduction of new COVID-19 variants or the spread of existing COVID-19 variants, we may experience a material adverse effect on our results of operations and financial condition as a result of the effects of COVID-19.</w:t>
      </w:r>
      <w:r w:rsidR="00D70CC3" w:rsidRPr="00D70CC3">
        <w:rPr>
          <w:sz w:val="22"/>
          <w:szCs w:val="22"/>
        </w:rPr>
        <w:t xml:space="preserve"> </w:t>
      </w:r>
    </w:p>
    <w:p w14:paraId="5FB322C4" w14:textId="77777777" w:rsidR="00E82C3F" w:rsidRPr="00E82C3F" w:rsidRDefault="00E82C3F" w:rsidP="004F4B4D">
      <w:pPr>
        <w:ind w:firstLine="720"/>
        <w:jc w:val="both"/>
        <w:rPr>
          <w:sz w:val="22"/>
          <w:szCs w:val="22"/>
        </w:rPr>
      </w:pPr>
    </w:p>
    <w:p w14:paraId="7649A1BA"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r w:rsidRPr="00E82C3F">
        <w:rPr>
          <w:b/>
          <w:bCs/>
          <w:spacing w:val="-2"/>
          <w:sz w:val="22"/>
          <w:szCs w:val="22"/>
        </w:rPr>
        <w:t>Terrorist attacks or a war could adversely affect our results of operations.</w:t>
      </w:r>
    </w:p>
    <w:p w14:paraId="01CE4553"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p>
    <w:p w14:paraId="6146323B" w14:textId="77777777" w:rsidR="00E82C3F" w:rsidRPr="00E82C3F" w:rsidRDefault="00E82C3F" w:rsidP="00E82C3F">
      <w:pPr>
        <w:widowControl w:val="0"/>
        <w:tabs>
          <w:tab w:val="left" w:pos="-720"/>
        </w:tabs>
        <w:suppressAutoHyphens/>
        <w:autoSpaceDE w:val="0"/>
        <w:autoSpaceDN w:val="0"/>
        <w:adjustRightInd w:val="0"/>
        <w:ind w:firstLine="720"/>
        <w:jc w:val="both"/>
        <w:rPr>
          <w:spacing w:val="-2"/>
          <w:sz w:val="22"/>
          <w:szCs w:val="22"/>
        </w:rPr>
      </w:pPr>
      <w:r w:rsidRPr="00E82C3F">
        <w:rPr>
          <w:spacing w:val="-2"/>
          <w:sz w:val="22"/>
          <w:szCs w:val="22"/>
        </w:rPr>
        <w:t xml:space="preserve">Terrorist attacks and other acts of violence or war could affect us or our customers by disrupting normal business practices for extended periods of time and reducing business confidence.  In addition, acts of violence or war may make travel more difficult and may effectively curtail our ability to serve our customers' needs, any of which could adversely affect our results of operations.  </w:t>
      </w:r>
    </w:p>
    <w:p w14:paraId="5D01DA4D" w14:textId="77777777" w:rsidR="00E82C3F" w:rsidRPr="00E82C3F" w:rsidRDefault="00E82C3F" w:rsidP="00E82C3F">
      <w:pPr>
        <w:widowControl w:val="0"/>
        <w:shd w:val="clear" w:color="auto" w:fill="FFFFFF"/>
        <w:autoSpaceDE w:val="0"/>
        <w:autoSpaceDN w:val="0"/>
        <w:adjustRightInd w:val="0"/>
        <w:jc w:val="both"/>
        <w:textAlignment w:val="baseline"/>
        <w:rPr>
          <w:b/>
          <w:bCs/>
          <w:sz w:val="22"/>
          <w:szCs w:val="22"/>
          <w:bdr w:val="none" w:sz="0" w:space="0" w:color="auto" w:frame="1"/>
        </w:rPr>
      </w:pPr>
    </w:p>
    <w:p w14:paraId="2B2096CA" w14:textId="77777777" w:rsidR="00E82C3F" w:rsidRPr="00E82C3F" w:rsidRDefault="00E82C3F" w:rsidP="00E82C3F">
      <w:pPr>
        <w:widowControl w:val="0"/>
        <w:autoSpaceDE w:val="0"/>
        <w:autoSpaceDN w:val="0"/>
        <w:adjustRightInd w:val="0"/>
        <w:jc w:val="both"/>
        <w:rPr>
          <w:b/>
          <w:bCs/>
          <w:i/>
          <w:iCs/>
          <w:sz w:val="22"/>
          <w:szCs w:val="22"/>
        </w:rPr>
      </w:pPr>
      <w:r w:rsidRPr="00E82C3F">
        <w:rPr>
          <w:b/>
          <w:bCs/>
          <w:iCs/>
          <w:sz w:val="22"/>
          <w:szCs w:val="22"/>
        </w:rPr>
        <w:t>We may face various risks associated with shareholder activists or shareholder demands for better performance</w:t>
      </w:r>
      <w:r w:rsidRPr="00E82C3F">
        <w:rPr>
          <w:b/>
          <w:bCs/>
          <w:i/>
          <w:iCs/>
          <w:sz w:val="22"/>
          <w:szCs w:val="22"/>
        </w:rPr>
        <w:t>.</w:t>
      </w:r>
    </w:p>
    <w:p w14:paraId="1C457C8E" w14:textId="77777777" w:rsidR="00E82C3F" w:rsidRPr="00E82C3F" w:rsidRDefault="00E82C3F" w:rsidP="00E82C3F">
      <w:pPr>
        <w:widowControl w:val="0"/>
        <w:autoSpaceDE w:val="0"/>
        <w:autoSpaceDN w:val="0"/>
        <w:adjustRightInd w:val="0"/>
        <w:rPr>
          <w:b/>
          <w:bCs/>
          <w:i/>
          <w:iCs/>
          <w:sz w:val="22"/>
          <w:szCs w:val="22"/>
        </w:rPr>
      </w:pPr>
    </w:p>
    <w:p w14:paraId="30C81DC4" w14:textId="77777777" w:rsidR="00E82C3F" w:rsidRPr="00E82C3F" w:rsidRDefault="00E82C3F" w:rsidP="00E82C3F">
      <w:pPr>
        <w:widowControl w:val="0"/>
        <w:autoSpaceDE w:val="0"/>
        <w:autoSpaceDN w:val="0"/>
        <w:adjustRightInd w:val="0"/>
        <w:ind w:firstLine="720"/>
        <w:jc w:val="both"/>
        <w:rPr>
          <w:spacing w:val="-2"/>
          <w:sz w:val="22"/>
          <w:szCs w:val="22"/>
        </w:rPr>
      </w:pPr>
      <w:r w:rsidRPr="00E82C3F">
        <w:rPr>
          <w:sz w:val="22"/>
          <w:szCs w:val="22"/>
        </w:rPr>
        <w:t>There is no assurance that we will not be subject to shareholder activism or demands. Such activities could interfere with our ability to execute our strategic plan, be costly and time-consuming, disrupt our operations, and divert the attention of management and our employees.</w:t>
      </w:r>
      <w:r w:rsidRPr="00E82C3F">
        <w:rPr>
          <w:spacing w:val="-2"/>
          <w:sz w:val="22"/>
          <w:szCs w:val="22"/>
        </w:rPr>
        <w:t xml:space="preserve">  </w:t>
      </w:r>
    </w:p>
    <w:p w14:paraId="082ABB4D" w14:textId="77777777" w:rsidR="00E82C3F" w:rsidRPr="00E82C3F" w:rsidRDefault="00E82C3F" w:rsidP="00E82C3F">
      <w:pPr>
        <w:widowControl w:val="0"/>
        <w:shd w:val="clear" w:color="auto" w:fill="FFFFFF"/>
        <w:autoSpaceDE w:val="0"/>
        <w:autoSpaceDN w:val="0"/>
        <w:adjustRightInd w:val="0"/>
        <w:jc w:val="both"/>
        <w:textAlignment w:val="baseline"/>
        <w:rPr>
          <w:b/>
          <w:bCs/>
          <w:sz w:val="22"/>
          <w:szCs w:val="22"/>
          <w:shd w:val="clear" w:color="auto" w:fill="FFFFFF"/>
        </w:rPr>
      </w:pPr>
    </w:p>
    <w:p w14:paraId="6A603D4E" w14:textId="77777777" w:rsidR="00E82C3F" w:rsidRPr="00E82C3F" w:rsidRDefault="00E82C3F" w:rsidP="00E82C3F">
      <w:pPr>
        <w:widowControl w:val="0"/>
        <w:tabs>
          <w:tab w:val="left" w:pos="-720"/>
          <w:tab w:val="left" w:pos="0"/>
        </w:tabs>
        <w:suppressAutoHyphens/>
        <w:autoSpaceDE w:val="0"/>
        <w:autoSpaceDN w:val="0"/>
        <w:adjustRightInd w:val="0"/>
        <w:spacing w:line="240" w:lineRule="atLeast"/>
        <w:ind w:left="720" w:hanging="720"/>
        <w:jc w:val="both"/>
        <w:rPr>
          <w:b/>
          <w:bCs/>
          <w:spacing w:val="-2"/>
          <w:sz w:val="22"/>
          <w:szCs w:val="22"/>
        </w:rPr>
      </w:pPr>
      <w:r w:rsidRPr="00E82C3F">
        <w:rPr>
          <w:b/>
          <w:bCs/>
          <w:spacing w:val="-2"/>
          <w:sz w:val="22"/>
          <w:szCs w:val="22"/>
        </w:rPr>
        <w:t>We are the subject of continuing litigation, including litigation by certain of our former employees.</w:t>
      </w:r>
    </w:p>
    <w:p w14:paraId="091CCC5B" w14:textId="77777777" w:rsidR="00E82C3F" w:rsidRPr="00E82C3F" w:rsidRDefault="00E82C3F" w:rsidP="00E82C3F">
      <w:pPr>
        <w:widowControl w:val="0"/>
        <w:autoSpaceDE w:val="0"/>
        <w:autoSpaceDN w:val="0"/>
        <w:adjustRightInd w:val="0"/>
        <w:ind w:firstLine="720"/>
        <w:jc w:val="both"/>
        <w:rPr>
          <w:sz w:val="22"/>
          <w:szCs w:val="22"/>
        </w:rPr>
      </w:pPr>
    </w:p>
    <w:p w14:paraId="30D86B91" w14:textId="77777777" w:rsidR="00E82C3F" w:rsidRPr="00E82C3F" w:rsidRDefault="00E82C3F" w:rsidP="00E82C3F">
      <w:pPr>
        <w:widowControl w:val="0"/>
        <w:autoSpaceDE w:val="0"/>
        <w:autoSpaceDN w:val="0"/>
        <w:adjustRightInd w:val="0"/>
        <w:jc w:val="both"/>
        <w:rPr>
          <w:sz w:val="22"/>
          <w:szCs w:val="22"/>
        </w:rPr>
      </w:pPr>
      <w:r w:rsidRPr="00E82C3F">
        <w:rPr>
          <w:sz w:val="22"/>
          <w:szCs w:val="22"/>
        </w:rPr>
        <w:tab/>
        <w:t xml:space="preserve">In 2008, a judgment was rendered in the Philippines against a Philippine subsidiary of the Company that is no longer active and purportedly also against Innodata Inc., in favor of certain former employees of the Philippine subsidiary. The potential payment amount aggregates to approximately $5.9 million, plus legal interest that accrued at 12% per annum from August 13, 2008 to June 30, 2013, and thereafter accrued and continues to accrue at 6% per annum. The potential payment amount as expressed in U.S. dollars varies with </w:t>
      </w:r>
      <w:r w:rsidRPr="00E82C3F">
        <w:rPr>
          <w:sz w:val="22"/>
          <w:szCs w:val="22"/>
        </w:rPr>
        <w:lastRenderedPageBreak/>
        <w:t>the Philippine peso to U.S. dollar exchange rate. In December 2017, a group of 97 of the former employees of the Philippine subsidiary indicated that they proposed to record the judgment as to themselves in New Jersey. In January 2018, in response to an action initiated by Innodata Inc., the United States District Court for the District of New Jersey (“USDC”) entered a preliminary injunction that enjoins these former employees from pursuing or seeking recognition or enforcement of the judgment against Innodata Inc. in the U.S. during the pendency of the action and until further order of the USDC. In June 2018, the USDC entered a consent order administratively closing the action subject to return of the action to the active docket upon the written request of Innodata Inc. or the former employees, with the USDC retaining jurisdiction over the matter and the preliminary injunction remaining in full force and effect. The principal relevant cases in the Philippines are Court of Appeals Case Nos. CA-G.R. SP No. 93295 Innodata Employees Association (IDEA), Eleanor Tolentino, et al. vs. Innodata Philippines, Inc., et al., and CA-G.R. SP No. 90538 Innodata Philippines, Inc. vs. Honorable Acting Secretary Manuel G. Imson, et al. (28 June 2007), the Department of Labor and Employment National Labor Relations Commission, Republic of the Philippines (NLRC-NCR-Case No.07-04713-2002, et al., Innodata Employees Association (IDEA) and Eleanor A. Tolentino, et al. vs. Innodata Philippines, Inc., et al), and the Department of Labor and Employment Office of the Secretary of Labor and Employment, Republic of the Philippines (Case No. OS-AJ-0015-2001, In Re: Labor Dispute at Innodata Philippines, Inc.). The U.S. District Court action is Civil Action No.: 2:17-cv-13268-SDW-LDW Innodata Inc. v. Myrna C. Augustin-Simon; et al.</w:t>
      </w:r>
    </w:p>
    <w:p w14:paraId="79A36F77" w14:textId="77777777" w:rsidR="00E82C3F" w:rsidRPr="00E82C3F" w:rsidRDefault="00E82C3F" w:rsidP="00E82C3F">
      <w:pPr>
        <w:widowControl w:val="0"/>
        <w:autoSpaceDE w:val="0"/>
        <w:autoSpaceDN w:val="0"/>
        <w:adjustRightInd w:val="0"/>
        <w:ind w:firstLine="720"/>
        <w:jc w:val="both"/>
        <w:rPr>
          <w:sz w:val="22"/>
          <w:szCs w:val="22"/>
        </w:rPr>
      </w:pPr>
    </w:p>
    <w:p w14:paraId="0DF8279D"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We are also subject to various other legal proceedings and claims that have arisen in the ordinary course of business. While we believe that we have adequate reserves for those losses that we believe are probable and can be reasonably estimated, the ultimate results of legal proceedings and claims cannot be predicted with certainty.</w:t>
      </w:r>
    </w:p>
    <w:p w14:paraId="04145D6C" w14:textId="77777777" w:rsidR="00E82C3F" w:rsidRPr="00E82C3F" w:rsidRDefault="00E82C3F" w:rsidP="00E82C3F">
      <w:pPr>
        <w:widowControl w:val="0"/>
        <w:autoSpaceDE w:val="0"/>
        <w:autoSpaceDN w:val="0"/>
        <w:adjustRightInd w:val="0"/>
        <w:ind w:firstLine="720"/>
        <w:jc w:val="both"/>
        <w:rPr>
          <w:sz w:val="22"/>
          <w:szCs w:val="22"/>
        </w:rPr>
      </w:pPr>
    </w:p>
    <w:p w14:paraId="1C50B23B" w14:textId="0F31DB58"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While we currently believe that the ultimate outcome of these proceedings will not have a material adverse effect on our consolidated financial position or overall trends in our consolidated results of operations, litigation is subject to inherent uncertainties. Substantial recovery against us in the above- referenced Philippines action could have a material adverse impact on us, and unfavorable rulings or recoveries in the other proceedings could have a material adverse impact on the consolidated operating results of the period in which the ruling or recovery occurs. In addition, our estimate of potential impact on our consolidated financial position or overall consolidated results of operations for the above referenced legal proceedings could change in the future. See “Legal Proceedings”. </w:t>
      </w:r>
    </w:p>
    <w:p w14:paraId="5ED24B89" w14:textId="77777777" w:rsidR="00E82C3F" w:rsidRPr="00E82C3F" w:rsidRDefault="00E82C3F" w:rsidP="00E82C3F">
      <w:pPr>
        <w:widowControl w:val="0"/>
        <w:shd w:val="clear" w:color="auto" w:fill="FFFFFF"/>
        <w:autoSpaceDE w:val="0"/>
        <w:autoSpaceDN w:val="0"/>
        <w:adjustRightInd w:val="0"/>
        <w:jc w:val="both"/>
        <w:textAlignment w:val="baseline"/>
        <w:rPr>
          <w:b/>
          <w:bCs/>
          <w:sz w:val="22"/>
          <w:szCs w:val="22"/>
          <w:shd w:val="clear" w:color="auto" w:fill="FFFFFF"/>
        </w:rPr>
      </w:pPr>
    </w:p>
    <w:p w14:paraId="44A8B943" w14:textId="77777777" w:rsidR="00E82C3F" w:rsidRPr="00E82C3F" w:rsidRDefault="00E82C3F" w:rsidP="00E82C3F">
      <w:pPr>
        <w:jc w:val="both"/>
        <w:rPr>
          <w:b/>
          <w:bCs/>
          <w:sz w:val="22"/>
          <w:szCs w:val="22"/>
        </w:rPr>
      </w:pPr>
      <w:r w:rsidRPr="00E82C3F">
        <w:rPr>
          <w:b/>
          <w:bCs/>
          <w:sz w:val="22"/>
          <w:szCs w:val="22"/>
        </w:rPr>
        <w:t>Our reputation could be damaged, or our profitability could suffer if we do not meet the controls and procedures in respect of the services, platforms and solutions we provide to our customers, or if we contribute to our customers’ internal control deficiencies.</w:t>
      </w:r>
    </w:p>
    <w:p w14:paraId="17D807CC" w14:textId="77777777" w:rsidR="00E82C3F" w:rsidRPr="00E82C3F" w:rsidRDefault="00E82C3F" w:rsidP="00E82C3F">
      <w:pPr>
        <w:widowControl w:val="0"/>
        <w:autoSpaceDE w:val="0"/>
        <w:autoSpaceDN w:val="0"/>
        <w:adjustRightInd w:val="0"/>
        <w:ind w:left="16" w:firstLine="704"/>
        <w:jc w:val="both"/>
        <w:rPr>
          <w:sz w:val="22"/>
          <w:szCs w:val="22"/>
        </w:rPr>
      </w:pPr>
    </w:p>
    <w:p w14:paraId="56F31C19" w14:textId="148C95E3" w:rsidR="00364979" w:rsidRDefault="00E82C3F" w:rsidP="00E82C3F">
      <w:pPr>
        <w:widowControl w:val="0"/>
        <w:autoSpaceDE w:val="0"/>
        <w:autoSpaceDN w:val="0"/>
        <w:adjustRightInd w:val="0"/>
        <w:ind w:left="16" w:firstLine="704"/>
        <w:jc w:val="both"/>
        <w:rPr>
          <w:sz w:val="22"/>
          <w:szCs w:val="22"/>
        </w:rPr>
      </w:pPr>
      <w:r w:rsidRPr="00E82C3F">
        <w:rPr>
          <w:sz w:val="22"/>
          <w:szCs w:val="22"/>
        </w:rPr>
        <w:t>Our customers may perform audits or require us to perform audits, provide audit reports or obtain certifications with respect to the controls and procedures that we use in the performance of services for such customers, especially when we process data or information belonging to them. Our ability to acquire new customers and retain existing customers may be adversely affected and our reputation could be harmed if we receive a qualified opinion, or if we cannot obtain an appropriate certification or opinion with respect to our controls and procedures in connection with any such audit in a timely manner. Additionally, our profitability could suffer if our controls and procedures were to fail or to impair our customer’s ability to comply with its own internal control requirements.</w:t>
      </w:r>
    </w:p>
    <w:p w14:paraId="705EE274" w14:textId="77777777" w:rsidR="00364979" w:rsidRDefault="00364979" w:rsidP="00E82C3F">
      <w:pPr>
        <w:widowControl w:val="0"/>
        <w:autoSpaceDE w:val="0"/>
        <w:autoSpaceDN w:val="0"/>
        <w:adjustRightInd w:val="0"/>
        <w:ind w:left="16" w:firstLine="704"/>
        <w:jc w:val="both"/>
        <w:rPr>
          <w:sz w:val="22"/>
          <w:szCs w:val="22"/>
        </w:rPr>
      </w:pPr>
    </w:p>
    <w:p w14:paraId="1C95C149" w14:textId="003AC58D" w:rsidR="00364979" w:rsidRPr="00B21968" w:rsidRDefault="00364979" w:rsidP="00B21968">
      <w:pPr>
        <w:widowControl w:val="0"/>
        <w:tabs>
          <w:tab w:val="left" w:pos="-720"/>
        </w:tabs>
        <w:suppressAutoHyphens/>
        <w:autoSpaceDE w:val="0"/>
        <w:autoSpaceDN w:val="0"/>
        <w:adjustRightInd w:val="0"/>
        <w:spacing w:line="240" w:lineRule="atLeast"/>
        <w:jc w:val="both"/>
        <w:rPr>
          <w:b/>
          <w:bCs/>
          <w:spacing w:val="-2"/>
          <w:sz w:val="22"/>
          <w:szCs w:val="22"/>
        </w:rPr>
      </w:pPr>
      <w:r>
        <w:rPr>
          <w:b/>
          <w:bCs/>
          <w:spacing w:val="-2"/>
          <w:sz w:val="22"/>
          <w:szCs w:val="22"/>
        </w:rPr>
        <w:t>In the past, we have determined that o</w:t>
      </w:r>
      <w:r w:rsidRPr="00B21968">
        <w:rPr>
          <w:b/>
          <w:bCs/>
          <w:spacing w:val="-2"/>
          <w:sz w:val="22"/>
          <w:szCs w:val="22"/>
        </w:rPr>
        <w:t>ur disclosure controls and procedures were not effective</w:t>
      </w:r>
      <w:r>
        <w:rPr>
          <w:b/>
          <w:bCs/>
          <w:spacing w:val="-2"/>
          <w:sz w:val="22"/>
          <w:szCs w:val="22"/>
        </w:rPr>
        <w:t>. If we determine</w:t>
      </w:r>
      <w:r w:rsidR="00631FC1">
        <w:rPr>
          <w:b/>
          <w:bCs/>
          <w:spacing w:val="-2"/>
          <w:sz w:val="22"/>
          <w:szCs w:val="22"/>
        </w:rPr>
        <w:t xml:space="preserve"> again in the future </w:t>
      </w:r>
      <w:r>
        <w:rPr>
          <w:b/>
          <w:bCs/>
          <w:spacing w:val="-2"/>
          <w:sz w:val="22"/>
          <w:szCs w:val="22"/>
        </w:rPr>
        <w:t>that our disclosure controls and procedures are not effective,</w:t>
      </w:r>
      <w:r w:rsidRPr="00B21968">
        <w:rPr>
          <w:b/>
          <w:bCs/>
          <w:spacing w:val="-2"/>
          <w:sz w:val="22"/>
          <w:szCs w:val="22"/>
        </w:rPr>
        <w:t xml:space="preserve"> it is possible that our disclosure controls and procedures will not prevent or detect all errors and all instances of fraud. The ineffective disclosure controls and procedures could cause investors to lose confidence in our reported financial information and have a negative effect on the market prices for our common stock.</w:t>
      </w:r>
    </w:p>
    <w:p w14:paraId="5C345749" w14:textId="77777777" w:rsidR="00364979" w:rsidRPr="00364979" w:rsidRDefault="00364979" w:rsidP="00364979">
      <w:pPr>
        <w:widowControl w:val="0"/>
        <w:autoSpaceDE w:val="0"/>
        <w:autoSpaceDN w:val="0"/>
        <w:adjustRightInd w:val="0"/>
        <w:ind w:left="16" w:firstLine="704"/>
        <w:jc w:val="both"/>
        <w:rPr>
          <w:sz w:val="22"/>
          <w:szCs w:val="22"/>
        </w:rPr>
      </w:pPr>
    </w:p>
    <w:p w14:paraId="783763D6" w14:textId="0398CC04" w:rsidR="00364979" w:rsidRDefault="00364979" w:rsidP="00364979">
      <w:pPr>
        <w:widowControl w:val="0"/>
        <w:autoSpaceDE w:val="0"/>
        <w:autoSpaceDN w:val="0"/>
        <w:adjustRightInd w:val="0"/>
        <w:ind w:left="16" w:firstLine="704"/>
        <w:jc w:val="both"/>
        <w:rPr>
          <w:sz w:val="22"/>
          <w:szCs w:val="22"/>
        </w:rPr>
      </w:pPr>
      <w:r w:rsidRPr="00364979">
        <w:rPr>
          <w:sz w:val="22"/>
          <w:szCs w:val="22"/>
        </w:rPr>
        <w:t xml:space="preserve">We are required to maintain disclosure controls and procedures designed to provide reasonable </w:t>
      </w:r>
      <w:r w:rsidRPr="00364979">
        <w:rPr>
          <w:sz w:val="22"/>
          <w:szCs w:val="22"/>
        </w:rPr>
        <w:lastRenderedPageBreak/>
        <w:t xml:space="preserve">assurance that material information required to be disclosed by us in the reports we file or submit under the Securities Exchange Act of 1934 is recorded, processed, summarized and reported within the time periods specified in the SEC’s rules and forms, and that the information is accumulated and communicated to our management, including our principal executive officer and principal financial officer, as appropriate to allow timely decisions regarding required disclosure. We performed an evaluation, under the supervision and with the participation of our management, including our principal executive officer and principal financial officer, of the effectiveness of the design and operation of our disclosure controls and procedures as </w:t>
      </w:r>
      <w:r w:rsidR="00D23777" w:rsidRPr="00BF5A30">
        <w:rPr>
          <w:sz w:val="22"/>
          <w:szCs w:val="22"/>
        </w:rPr>
        <w:t>of</w:t>
      </w:r>
      <w:r w:rsidR="00D23777" w:rsidRPr="00B964D2">
        <w:rPr>
          <w:sz w:val="22"/>
          <w:szCs w:val="22"/>
        </w:rPr>
        <w:t xml:space="preserve"> </w:t>
      </w:r>
      <w:r w:rsidRPr="00B964D2">
        <w:rPr>
          <w:sz w:val="22"/>
          <w:szCs w:val="22"/>
        </w:rPr>
        <w:t>December</w:t>
      </w:r>
      <w:r w:rsidRPr="00364979">
        <w:rPr>
          <w:sz w:val="22"/>
          <w:szCs w:val="22"/>
        </w:rPr>
        <w:t xml:space="preserve"> 31, 202</w:t>
      </w:r>
      <w:r>
        <w:rPr>
          <w:sz w:val="22"/>
          <w:szCs w:val="22"/>
        </w:rPr>
        <w:t>2</w:t>
      </w:r>
      <w:r w:rsidRPr="00364979">
        <w:rPr>
          <w:sz w:val="22"/>
          <w:szCs w:val="22"/>
        </w:rPr>
        <w:t xml:space="preserve"> and concluded that our disclosure controls and procedures were effective as of December 31, 202</w:t>
      </w:r>
      <w:r>
        <w:rPr>
          <w:sz w:val="22"/>
          <w:szCs w:val="22"/>
        </w:rPr>
        <w:t>2</w:t>
      </w:r>
      <w:r w:rsidRPr="00364979">
        <w:rPr>
          <w:sz w:val="22"/>
          <w:szCs w:val="22"/>
        </w:rPr>
        <w:t>.</w:t>
      </w:r>
      <w:r>
        <w:rPr>
          <w:sz w:val="22"/>
          <w:szCs w:val="22"/>
        </w:rPr>
        <w:t xml:space="preserve"> However, we previously performed this evaluation and </w:t>
      </w:r>
      <w:r w:rsidRPr="00364979">
        <w:rPr>
          <w:sz w:val="22"/>
          <w:szCs w:val="22"/>
        </w:rPr>
        <w:t>concluded that our disclosure controls and procedures were not effective as of December 31, 2021</w:t>
      </w:r>
      <w:r>
        <w:rPr>
          <w:sz w:val="22"/>
          <w:szCs w:val="22"/>
        </w:rPr>
        <w:t>.</w:t>
      </w:r>
    </w:p>
    <w:p w14:paraId="6DBDBB35" w14:textId="77777777" w:rsidR="00364979" w:rsidRPr="00364979" w:rsidRDefault="00364979" w:rsidP="00364979">
      <w:pPr>
        <w:widowControl w:val="0"/>
        <w:autoSpaceDE w:val="0"/>
        <w:autoSpaceDN w:val="0"/>
        <w:adjustRightInd w:val="0"/>
        <w:ind w:left="16" w:firstLine="704"/>
        <w:jc w:val="both"/>
        <w:rPr>
          <w:sz w:val="22"/>
          <w:szCs w:val="22"/>
        </w:rPr>
      </w:pPr>
    </w:p>
    <w:p w14:paraId="0D5F8BDF" w14:textId="5A94C68E" w:rsidR="00364979" w:rsidRDefault="00AF3FFB" w:rsidP="00364979">
      <w:pPr>
        <w:widowControl w:val="0"/>
        <w:autoSpaceDE w:val="0"/>
        <w:autoSpaceDN w:val="0"/>
        <w:adjustRightInd w:val="0"/>
        <w:ind w:left="16" w:firstLine="704"/>
        <w:jc w:val="both"/>
        <w:rPr>
          <w:sz w:val="22"/>
          <w:szCs w:val="22"/>
        </w:rPr>
      </w:pPr>
      <w:r w:rsidRPr="00B21968">
        <w:rPr>
          <w:spacing w:val="-2"/>
          <w:sz w:val="22"/>
          <w:szCs w:val="22"/>
        </w:rPr>
        <w:t>If we determine</w:t>
      </w:r>
      <w:r w:rsidR="00631FC1">
        <w:rPr>
          <w:spacing w:val="-2"/>
          <w:sz w:val="22"/>
          <w:szCs w:val="22"/>
        </w:rPr>
        <w:t xml:space="preserve"> again</w:t>
      </w:r>
      <w:r w:rsidRPr="00B21968">
        <w:rPr>
          <w:spacing w:val="-2"/>
          <w:sz w:val="22"/>
          <w:szCs w:val="22"/>
        </w:rPr>
        <w:t xml:space="preserve"> in the future that we have</w:t>
      </w:r>
      <w:r w:rsidRPr="00B21968">
        <w:rPr>
          <w:sz w:val="22"/>
          <w:szCs w:val="22"/>
        </w:rPr>
        <w:t xml:space="preserve"> i</w:t>
      </w:r>
      <w:r w:rsidR="00364979" w:rsidRPr="00B21968">
        <w:rPr>
          <w:sz w:val="22"/>
          <w:szCs w:val="22"/>
        </w:rPr>
        <w:t>neffective</w:t>
      </w:r>
      <w:r w:rsidR="00364979" w:rsidRPr="00364979">
        <w:rPr>
          <w:sz w:val="22"/>
          <w:szCs w:val="22"/>
        </w:rPr>
        <w:t xml:space="preserve"> disclosure controls and procedures</w:t>
      </w:r>
      <w:r>
        <w:rPr>
          <w:sz w:val="22"/>
          <w:szCs w:val="22"/>
        </w:rPr>
        <w:t>, this</w:t>
      </w:r>
      <w:r w:rsidR="00364979" w:rsidRPr="00364979">
        <w:rPr>
          <w:sz w:val="22"/>
          <w:szCs w:val="22"/>
        </w:rPr>
        <w:t xml:space="preserve"> could restrict our ability to access the capital markets, require significant resources to correct, subject us to fines, penalties or judgments, harm our reputation or otherwise cause a decline in investor confidence and cause a decline in the market price of our common stock.</w:t>
      </w:r>
    </w:p>
    <w:p w14:paraId="5899515B" w14:textId="77777777" w:rsidR="00E82C3F" w:rsidRPr="00E82C3F" w:rsidRDefault="00E82C3F" w:rsidP="00631FC1">
      <w:pPr>
        <w:widowControl w:val="0"/>
        <w:autoSpaceDE w:val="0"/>
        <w:autoSpaceDN w:val="0"/>
        <w:adjustRightInd w:val="0"/>
        <w:ind w:left="16" w:firstLine="704"/>
        <w:jc w:val="both"/>
        <w:rPr>
          <w:b/>
          <w:bCs/>
          <w:sz w:val="22"/>
          <w:szCs w:val="22"/>
        </w:rPr>
      </w:pPr>
    </w:p>
    <w:p w14:paraId="0CD2FA76" w14:textId="77777777" w:rsidR="00E82C3F" w:rsidRPr="00E82C3F" w:rsidRDefault="00E82C3F" w:rsidP="00E82C3F">
      <w:pPr>
        <w:widowControl w:val="0"/>
        <w:shd w:val="clear" w:color="auto" w:fill="FFFFFF"/>
        <w:autoSpaceDE w:val="0"/>
        <w:autoSpaceDN w:val="0"/>
        <w:adjustRightInd w:val="0"/>
        <w:jc w:val="both"/>
        <w:textAlignment w:val="baseline"/>
        <w:rPr>
          <w:b/>
          <w:bCs/>
          <w:sz w:val="22"/>
          <w:szCs w:val="22"/>
          <w:u w:val="single"/>
          <w:bdr w:val="none" w:sz="0" w:space="0" w:color="auto" w:frame="1"/>
        </w:rPr>
      </w:pPr>
      <w:r w:rsidRPr="00E82C3F">
        <w:rPr>
          <w:b/>
          <w:bCs/>
          <w:sz w:val="22"/>
          <w:szCs w:val="22"/>
          <w:u w:val="single"/>
          <w:bdr w:val="none" w:sz="0" w:space="0" w:color="auto" w:frame="1"/>
        </w:rPr>
        <w:t>Risks Related to Our Contracts</w:t>
      </w:r>
    </w:p>
    <w:p w14:paraId="14DF31A6" w14:textId="77777777" w:rsidR="00E82C3F" w:rsidRPr="00E82C3F" w:rsidRDefault="00E82C3F" w:rsidP="00E82C3F">
      <w:pPr>
        <w:widowControl w:val="0"/>
        <w:shd w:val="clear" w:color="auto" w:fill="FFFFFF"/>
        <w:autoSpaceDE w:val="0"/>
        <w:autoSpaceDN w:val="0"/>
        <w:adjustRightInd w:val="0"/>
        <w:jc w:val="both"/>
        <w:textAlignment w:val="baseline"/>
        <w:rPr>
          <w:b/>
          <w:bCs/>
          <w:sz w:val="22"/>
          <w:szCs w:val="22"/>
          <w:u w:val="single"/>
          <w:bdr w:val="none" w:sz="0" w:space="0" w:color="auto" w:frame="1"/>
        </w:rPr>
      </w:pPr>
    </w:p>
    <w:p w14:paraId="51806A4C"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r w:rsidRPr="00E82C3F">
        <w:rPr>
          <w:b/>
          <w:bCs/>
          <w:spacing w:val="-2"/>
          <w:sz w:val="22"/>
          <w:szCs w:val="22"/>
        </w:rPr>
        <w:t xml:space="preserve">A portion of our revenue is generated from projects that we characterize as recurring in nature. Projects that we characterize as recurring are nevertheless subject to termination. </w:t>
      </w:r>
    </w:p>
    <w:p w14:paraId="467AB9E7"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p>
    <w:p w14:paraId="6D3ABA04"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bCs/>
          <w:spacing w:val="-2"/>
          <w:sz w:val="22"/>
          <w:szCs w:val="22"/>
        </w:rPr>
        <w:t xml:space="preserve">Our operating performance is materially dependent on the continuation of these projects. However, we are exposed to the risks that these projects may not be renewed by our customers or they could be terminated by our customers and we may not be able to replace these terminated projects with new recurring projects with similar profitability or customers may ask for a price reduction, which could adversely affect our revenue and results of operations. </w:t>
      </w:r>
      <w:r w:rsidRPr="00E82C3F">
        <w:rPr>
          <w:spacing w:val="-2"/>
          <w:sz w:val="22"/>
          <w:szCs w:val="22"/>
        </w:rPr>
        <w:t xml:space="preserve">       </w:t>
      </w:r>
    </w:p>
    <w:p w14:paraId="00FF2943" w14:textId="77777777" w:rsidR="00E82C3F" w:rsidRPr="00E82C3F" w:rsidRDefault="00E82C3F" w:rsidP="00E82C3F">
      <w:pPr>
        <w:widowControl w:val="0"/>
        <w:shd w:val="clear" w:color="auto" w:fill="FFFFFF"/>
        <w:autoSpaceDE w:val="0"/>
        <w:autoSpaceDN w:val="0"/>
        <w:adjustRightInd w:val="0"/>
        <w:jc w:val="both"/>
        <w:textAlignment w:val="baseline"/>
        <w:rPr>
          <w:b/>
          <w:bCs/>
          <w:sz w:val="22"/>
          <w:szCs w:val="22"/>
          <w:bdr w:val="none" w:sz="0" w:space="0" w:color="auto" w:frame="1"/>
        </w:rPr>
      </w:pPr>
    </w:p>
    <w:p w14:paraId="57DEA1EA" w14:textId="77777777" w:rsidR="00E82C3F" w:rsidRPr="00E82C3F" w:rsidRDefault="00E82C3F" w:rsidP="00E82C3F">
      <w:pPr>
        <w:widowControl w:val="0"/>
        <w:autoSpaceDE w:val="0"/>
        <w:autoSpaceDN w:val="0"/>
        <w:adjustRightInd w:val="0"/>
        <w:jc w:val="both"/>
        <w:rPr>
          <w:b/>
          <w:sz w:val="22"/>
          <w:szCs w:val="22"/>
        </w:rPr>
      </w:pPr>
      <w:r w:rsidRPr="00E82C3F">
        <w:rPr>
          <w:b/>
          <w:sz w:val="22"/>
          <w:szCs w:val="22"/>
        </w:rPr>
        <w:t xml:space="preserve">Our solutions for the Agility segment are sold pursuant to subscription agreements, and if subscription customers elect either not to renew these agreements, or to renew these agreements for less expensive services, our revenues and results of operations will be adversely affected. </w:t>
      </w:r>
    </w:p>
    <w:p w14:paraId="12F67F27" w14:textId="77777777" w:rsidR="00E82C3F" w:rsidRPr="00E82C3F" w:rsidRDefault="00E82C3F" w:rsidP="00E82C3F">
      <w:pPr>
        <w:widowControl w:val="0"/>
        <w:autoSpaceDE w:val="0"/>
        <w:autoSpaceDN w:val="0"/>
        <w:adjustRightInd w:val="0"/>
        <w:jc w:val="both"/>
        <w:rPr>
          <w:sz w:val="22"/>
          <w:szCs w:val="22"/>
        </w:rPr>
      </w:pPr>
    </w:p>
    <w:p w14:paraId="1578C4C0" w14:textId="77777777" w:rsidR="00E82C3F" w:rsidRPr="00E82C3F" w:rsidRDefault="00E82C3F" w:rsidP="00E82C3F">
      <w:pPr>
        <w:widowControl w:val="0"/>
        <w:autoSpaceDE w:val="0"/>
        <w:autoSpaceDN w:val="0"/>
        <w:adjustRightInd w:val="0"/>
        <w:ind w:firstLine="720"/>
        <w:jc w:val="both"/>
        <w:rPr>
          <w:b/>
          <w:bCs/>
          <w:spacing w:val="-2"/>
          <w:sz w:val="22"/>
          <w:szCs w:val="22"/>
        </w:rPr>
      </w:pPr>
      <w:r w:rsidRPr="00E82C3F">
        <w:rPr>
          <w:sz w:val="22"/>
          <w:szCs w:val="22"/>
        </w:rPr>
        <w:t xml:space="preserve">Our Agility segment derives its revenues primarily from subscription arrangements. Our customers may choose not to renew subscription agreements when they expire or may renew them at lower prices or for a significantly narrower scope of work. If large numbers of existing subscription customers do not renew these agreements or renew these agreements on terms less favorable to us, and if we cannot replace or supplement those non-renewals with new subscription agreements generating the same or greater levels of revenue, our revenues and results of operations will be adversely affected. </w:t>
      </w:r>
    </w:p>
    <w:p w14:paraId="5520BB76" w14:textId="77777777" w:rsidR="00E82C3F" w:rsidRPr="00E82C3F" w:rsidRDefault="00E82C3F" w:rsidP="00E82C3F">
      <w:pPr>
        <w:widowControl w:val="0"/>
        <w:autoSpaceDE w:val="0"/>
        <w:autoSpaceDN w:val="0"/>
        <w:adjustRightInd w:val="0"/>
        <w:rPr>
          <w:b/>
          <w:bCs/>
          <w:sz w:val="22"/>
          <w:szCs w:val="22"/>
          <w:bdr w:val="none" w:sz="0" w:space="0" w:color="auto" w:frame="1"/>
        </w:rPr>
      </w:pPr>
    </w:p>
    <w:p w14:paraId="63C4832B" w14:textId="77777777" w:rsidR="00E82C3F" w:rsidRPr="00E82C3F" w:rsidRDefault="00E82C3F" w:rsidP="00E82C3F">
      <w:pPr>
        <w:jc w:val="both"/>
        <w:rPr>
          <w:sz w:val="22"/>
          <w:szCs w:val="22"/>
        </w:rPr>
      </w:pPr>
      <w:r w:rsidRPr="00E82C3F">
        <w:rPr>
          <w:b/>
          <w:bCs/>
          <w:sz w:val="22"/>
          <w:szCs w:val="22"/>
        </w:rPr>
        <w:t xml:space="preserve">If our customers are not satisfied with our services, they may terminate our contracts with them or our services and we may suffer reputational damage, which could have an adverse impact on our business. </w:t>
      </w:r>
    </w:p>
    <w:p w14:paraId="04E8F8A5" w14:textId="77777777" w:rsidR="00E82C3F" w:rsidRPr="00E82C3F" w:rsidRDefault="00E82C3F" w:rsidP="00E82C3F">
      <w:pPr>
        <w:spacing w:before="180"/>
        <w:ind w:firstLine="720"/>
        <w:jc w:val="both"/>
        <w:rPr>
          <w:sz w:val="22"/>
          <w:szCs w:val="22"/>
        </w:rPr>
      </w:pPr>
      <w:r w:rsidRPr="00E82C3F">
        <w:rPr>
          <w:sz w:val="22"/>
          <w:szCs w:val="22"/>
        </w:rPr>
        <w:t xml:space="preserve">Our business model depends in large part on our ability to attract additional work from our base of existing customers. Our business model also depends on relationships our account teams develop with our customers so that we can understand our customers’ needs and deliver solutions and services that are tailored to those needs. If a customer is not satisfied with the quality of work performed by us, or with the type of services or solutions delivered, then we could incur additional costs to address the situation, the profitability of that work might be impaired, and the customer’s dissatisfaction with our services could damage our ability to obtain additional work from that customer. In particular, customers that are not satisfied might seek to terminate existing contracts, which could mean that we could incur costs for the services performed with no associated revenue upon termination of a contract. This could also direct future business to our competitors. In addition, negative publicity related to our customer services or relationships, regardless of its accuracy, may further damage our business by affecting our reputation and our ability to compete for new contracts with current and prospective customers. </w:t>
      </w:r>
    </w:p>
    <w:p w14:paraId="78977441" w14:textId="77777777" w:rsidR="00E82C3F" w:rsidRPr="00E82C3F" w:rsidRDefault="00E82C3F" w:rsidP="00E82C3F">
      <w:pPr>
        <w:widowControl w:val="0"/>
        <w:shd w:val="clear" w:color="auto" w:fill="FFFFFF"/>
        <w:autoSpaceDE w:val="0"/>
        <w:autoSpaceDN w:val="0"/>
        <w:adjustRightInd w:val="0"/>
        <w:ind w:left="720"/>
        <w:contextualSpacing/>
        <w:jc w:val="both"/>
        <w:textAlignment w:val="baseline"/>
        <w:rPr>
          <w:b/>
          <w:bCs/>
          <w:sz w:val="22"/>
          <w:szCs w:val="22"/>
          <w:bdr w:val="none" w:sz="0" w:space="0" w:color="auto" w:frame="1"/>
        </w:rPr>
      </w:pPr>
    </w:p>
    <w:p w14:paraId="6553E928" w14:textId="77777777" w:rsidR="00E82C3F" w:rsidRPr="00E82C3F" w:rsidRDefault="00E82C3F" w:rsidP="00E82C3F">
      <w:pPr>
        <w:widowControl w:val="0"/>
        <w:autoSpaceDE w:val="0"/>
        <w:autoSpaceDN w:val="0"/>
        <w:adjustRightInd w:val="0"/>
        <w:rPr>
          <w:b/>
          <w:bCs/>
          <w:sz w:val="22"/>
          <w:szCs w:val="22"/>
          <w:u w:val="single"/>
          <w:bdr w:val="none" w:sz="0" w:space="0" w:color="auto" w:frame="1"/>
        </w:rPr>
      </w:pPr>
      <w:r w:rsidRPr="00E82C3F">
        <w:rPr>
          <w:b/>
          <w:bCs/>
          <w:sz w:val="22"/>
          <w:szCs w:val="22"/>
          <w:u w:val="single"/>
          <w:bdr w:val="none" w:sz="0" w:space="0" w:color="auto" w:frame="1"/>
        </w:rPr>
        <w:t>Risks Related to Financial Performance or General Economic Conditions</w:t>
      </w:r>
    </w:p>
    <w:p w14:paraId="5F2493FF" w14:textId="77777777" w:rsidR="00E82C3F" w:rsidRPr="00E82C3F" w:rsidRDefault="00E82C3F" w:rsidP="00E82C3F">
      <w:pPr>
        <w:widowControl w:val="0"/>
        <w:autoSpaceDE w:val="0"/>
        <w:autoSpaceDN w:val="0"/>
        <w:adjustRightInd w:val="0"/>
        <w:rPr>
          <w:sz w:val="22"/>
          <w:szCs w:val="22"/>
          <w:u w:val="single"/>
        </w:rPr>
      </w:pPr>
    </w:p>
    <w:p w14:paraId="194E9021" w14:textId="77777777" w:rsidR="00E82C3F" w:rsidRPr="00E82C3F" w:rsidRDefault="00E82C3F" w:rsidP="00E82C3F">
      <w:pPr>
        <w:widowControl w:val="0"/>
        <w:autoSpaceDE w:val="0"/>
        <w:autoSpaceDN w:val="0"/>
        <w:adjustRightInd w:val="0"/>
        <w:jc w:val="both"/>
        <w:rPr>
          <w:b/>
          <w:sz w:val="22"/>
          <w:szCs w:val="22"/>
        </w:rPr>
      </w:pPr>
      <w:r w:rsidRPr="00E82C3F">
        <w:rPr>
          <w:b/>
          <w:sz w:val="22"/>
          <w:szCs w:val="22"/>
        </w:rPr>
        <w:t xml:space="preserve">We have no bank facilities or line of credit. </w:t>
      </w:r>
    </w:p>
    <w:p w14:paraId="75FC0A71" w14:textId="77777777" w:rsidR="00E82C3F" w:rsidRPr="00E82C3F" w:rsidRDefault="00E82C3F" w:rsidP="00E82C3F">
      <w:pPr>
        <w:widowControl w:val="0"/>
        <w:autoSpaceDE w:val="0"/>
        <w:autoSpaceDN w:val="0"/>
        <w:adjustRightInd w:val="0"/>
        <w:jc w:val="both"/>
        <w:rPr>
          <w:sz w:val="22"/>
          <w:szCs w:val="22"/>
        </w:rPr>
      </w:pPr>
    </w:p>
    <w:p w14:paraId="612983B0" w14:textId="0EDD446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We believe that our existing cash and cash equivalents and cash flows from operations will provide sufficient sources of liquidity to satisfy our financial needs for the next 12 months.  However, we</w:t>
      </w:r>
      <w:r w:rsidR="00CB1DC8">
        <w:rPr>
          <w:sz w:val="22"/>
          <w:szCs w:val="22"/>
        </w:rPr>
        <w:t xml:space="preserve"> </w:t>
      </w:r>
      <w:r w:rsidRPr="00E82C3F">
        <w:rPr>
          <w:sz w:val="22"/>
          <w:szCs w:val="22"/>
        </w:rPr>
        <w:t xml:space="preserve">have no bank facilities or lines of credit, and reductions in our cash and cash equivalents from operating losses, capital expenditures, adverse legal decisions, acquisitions or other events affecting our access to capital could materially and adversely affect the Company. See “Management Discussion and Analysis – Liquidity and Capital Resources” for additional information. </w:t>
      </w:r>
    </w:p>
    <w:p w14:paraId="10ADF3D9" w14:textId="77777777" w:rsidR="00E82C3F" w:rsidRPr="00E82C3F" w:rsidRDefault="00E82C3F" w:rsidP="00E82C3F">
      <w:pPr>
        <w:widowControl w:val="0"/>
        <w:autoSpaceDE w:val="0"/>
        <w:autoSpaceDN w:val="0"/>
        <w:adjustRightInd w:val="0"/>
        <w:ind w:firstLine="720"/>
        <w:jc w:val="both"/>
        <w:rPr>
          <w:sz w:val="22"/>
          <w:szCs w:val="22"/>
        </w:rPr>
      </w:pPr>
    </w:p>
    <w:p w14:paraId="7C707770"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r w:rsidRPr="00E82C3F">
        <w:rPr>
          <w:b/>
          <w:bCs/>
          <w:spacing w:val="-2"/>
          <w:sz w:val="22"/>
          <w:szCs w:val="22"/>
        </w:rPr>
        <w:t>A large portion of our accounts receivable is payable by a limited number of customers; the inability of any of these customers to pay its obligations could adversely affect our results of operations.</w:t>
      </w:r>
      <w:r w:rsidRPr="00E82C3F">
        <w:rPr>
          <w:spacing w:val="-2"/>
          <w:sz w:val="22"/>
          <w:szCs w:val="22"/>
        </w:rPr>
        <w:t xml:space="preserve"> </w:t>
      </w:r>
    </w:p>
    <w:p w14:paraId="01A2F8F4"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64356674" w14:textId="126D2158" w:rsidR="00E82C3F" w:rsidRPr="00E82C3F" w:rsidRDefault="00E82C3F" w:rsidP="00E82C3F">
      <w:pPr>
        <w:widowControl w:val="0"/>
        <w:tabs>
          <w:tab w:val="left" w:pos="-720"/>
        </w:tabs>
        <w:suppressAutoHyphens/>
        <w:autoSpaceDE w:val="0"/>
        <w:autoSpaceDN w:val="0"/>
        <w:adjustRightInd w:val="0"/>
        <w:spacing w:line="240" w:lineRule="atLeast"/>
        <w:jc w:val="both"/>
        <w:rPr>
          <w:bCs/>
          <w:spacing w:val="-2"/>
          <w:sz w:val="22"/>
          <w:szCs w:val="22"/>
        </w:rPr>
      </w:pPr>
      <w:r w:rsidRPr="00E82C3F">
        <w:rPr>
          <w:spacing w:val="-2"/>
          <w:sz w:val="22"/>
          <w:szCs w:val="22"/>
        </w:rPr>
        <w:tab/>
        <w:t>Several significant customers account for a large percentage of our accounts receivable. If any of these customers were unable, or refused, for any reason, to pay our accounts receivable, our financial condition and results of operations could be materially adversely affected</w:t>
      </w:r>
      <w:r w:rsidRPr="009B345D">
        <w:rPr>
          <w:spacing w:val="-2"/>
          <w:sz w:val="22"/>
          <w:szCs w:val="22"/>
        </w:rPr>
        <w:t>.</w:t>
      </w:r>
      <w:r w:rsidR="00721E63">
        <w:rPr>
          <w:spacing w:val="-2"/>
          <w:sz w:val="22"/>
          <w:szCs w:val="22"/>
        </w:rPr>
        <w:t xml:space="preserve"> </w:t>
      </w:r>
      <w:r w:rsidRPr="009B345D">
        <w:rPr>
          <w:spacing w:val="-2"/>
          <w:sz w:val="22"/>
          <w:szCs w:val="22"/>
        </w:rPr>
        <w:t xml:space="preserve">As of December 31, 2022, </w:t>
      </w:r>
      <w:r w:rsidR="004E4913" w:rsidRPr="009B345D">
        <w:rPr>
          <w:spacing w:val="-2"/>
          <w:sz w:val="22"/>
          <w:szCs w:val="22"/>
        </w:rPr>
        <w:t>5</w:t>
      </w:r>
      <w:r w:rsidR="001D3019">
        <w:rPr>
          <w:spacing w:val="-2"/>
          <w:sz w:val="22"/>
          <w:szCs w:val="22"/>
        </w:rPr>
        <w:t>0</w:t>
      </w:r>
      <w:r w:rsidRPr="009B345D">
        <w:rPr>
          <w:spacing w:val="-2"/>
          <w:sz w:val="22"/>
          <w:szCs w:val="22"/>
        </w:rPr>
        <w:t>% or $</w:t>
      </w:r>
      <w:r w:rsidR="001D3019">
        <w:rPr>
          <w:spacing w:val="-2"/>
          <w:sz w:val="22"/>
          <w:szCs w:val="22"/>
        </w:rPr>
        <w:t>4.7</w:t>
      </w:r>
      <w:r w:rsidRPr="009B345D">
        <w:rPr>
          <w:spacing w:val="-2"/>
          <w:sz w:val="22"/>
          <w:szCs w:val="22"/>
        </w:rPr>
        <w:t xml:space="preserve"> million, of our accounts receivable was due from </w:t>
      </w:r>
      <w:r w:rsidR="00AE1858" w:rsidRPr="009B345D">
        <w:rPr>
          <w:spacing w:val="-2"/>
          <w:sz w:val="22"/>
          <w:szCs w:val="22"/>
        </w:rPr>
        <w:t>five</w:t>
      </w:r>
      <w:r w:rsidRPr="009B345D">
        <w:rPr>
          <w:spacing w:val="-2"/>
          <w:sz w:val="22"/>
          <w:szCs w:val="22"/>
        </w:rPr>
        <w:t xml:space="preserve"> customers.</w:t>
      </w:r>
      <w:r w:rsidRPr="00E82C3F">
        <w:rPr>
          <w:spacing w:val="-2"/>
          <w:sz w:val="22"/>
          <w:szCs w:val="22"/>
        </w:rPr>
        <w:t xml:space="preserve"> </w:t>
      </w:r>
    </w:p>
    <w:p w14:paraId="6FA86AB9"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z w:val="22"/>
          <w:szCs w:val="22"/>
        </w:rPr>
      </w:pPr>
    </w:p>
    <w:p w14:paraId="2B1326CE"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z w:val="22"/>
          <w:szCs w:val="22"/>
        </w:rPr>
      </w:pPr>
      <w:r w:rsidRPr="00E82C3F">
        <w:rPr>
          <w:sz w:val="22"/>
          <w:szCs w:val="22"/>
        </w:rPr>
        <w:t xml:space="preserve">In addition, we evaluate the financial condition of our customers prior to extending credit to them. We maintain specific allowances against doubtful receivables. Actual losses on customer balances could differ from those that we currently anticipate and, as a result, we might need to adjust our allowances. There is no guarantee that we will accurately assess the creditworthiness of our customers. Macroeconomic conditions could also result in financial difficulties, including limited access to the credit markets, insolvency or bankruptcy, for our customers, and, as a result, could cause customers to delay payments to us, request modifications to their payment arrangements that could increase our receivables balance, or default on their payment obligations to us. If we are unable to timely collect from our customers, our cash flows could be adversely affected. </w:t>
      </w:r>
    </w:p>
    <w:p w14:paraId="18C48062"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p>
    <w:p w14:paraId="457DF762"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r w:rsidRPr="00E82C3F">
        <w:rPr>
          <w:b/>
          <w:bCs/>
          <w:spacing w:val="-2"/>
          <w:sz w:val="22"/>
          <w:szCs w:val="22"/>
        </w:rPr>
        <w:t>Quarterly fluctuations in our revenues and results of operations could make financial forecasting difficult and could negatively affect our stock price.</w:t>
      </w:r>
    </w:p>
    <w:p w14:paraId="0C8844E5"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62C7B3F2" w14:textId="67DD7135" w:rsidR="00E82C3F" w:rsidRPr="00E82C3F" w:rsidRDefault="00E82C3F" w:rsidP="00E82C3F">
      <w:pPr>
        <w:widowControl w:val="0"/>
        <w:tabs>
          <w:tab w:val="left" w:pos="-720"/>
          <w:tab w:val="left" w:pos="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We have experienced, and expect to continue to experience, significant fluctuations in our quarterly revenue</w:t>
      </w:r>
      <w:r w:rsidRPr="00DD6989">
        <w:rPr>
          <w:spacing w:val="-2"/>
          <w:sz w:val="22"/>
          <w:szCs w:val="22"/>
        </w:rPr>
        <w:t xml:space="preserve">s and results of operations. </w:t>
      </w:r>
      <w:r w:rsidRPr="009B345D">
        <w:rPr>
          <w:spacing w:val="-2"/>
          <w:sz w:val="22"/>
          <w:szCs w:val="22"/>
        </w:rPr>
        <w:t xml:space="preserve">During the past eight quarters, our net income </w:t>
      </w:r>
      <w:r w:rsidR="00D16DE4" w:rsidRPr="009B345D">
        <w:rPr>
          <w:spacing w:val="-2"/>
          <w:sz w:val="22"/>
          <w:szCs w:val="22"/>
        </w:rPr>
        <w:t xml:space="preserve">(loss) </w:t>
      </w:r>
      <w:r w:rsidRPr="009B345D">
        <w:rPr>
          <w:spacing w:val="-2"/>
          <w:sz w:val="22"/>
          <w:szCs w:val="22"/>
        </w:rPr>
        <w:t>ranged from income of approximately $</w:t>
      </w:r>
      <w:r w:rsidR="00DD6989" w:rsidRPr="009B345D">
        <w:rPr>
          <w:spacing w:val="-2"/>
          <w:sz w:val="22"/>
          <w:szCs w:val="22"/>
        </w:rPr>
        <w:t>0.4</w:t>
      </w:r>
      <w:r w:rsidRPr="009B345D">
        <w:rPr>
          <w:spacing w:val="-2"/>
          <w:sz w:val="22"/>
          <w:szCs w:val="22"/>
        </w:rPr>
        <w:t xml:space="preserve"> million in the </w:t>
      </w:r>
      <w:r w:rsidR="00DD6989" w:rsidRPr="009B345D">
        <w:rPr>
          <w:spacing w:val="-2"/>
          <w:sz w:val="22"/>
          <w:szCs w:val="22"/>
        </w:rPr>
        <w:t xml:space="preserve">first </w:t>
      </w:r>
      <w:r w:rsidRPr="009B345D">
        <w:rPr>
          <w:spacing w:val="-2"/>
          <w:sz w:val="22"/>
          <w:szCs w:val="22"/>
        </w:rPr>
        <w:t>quarter of 2021 to a loss of approximately $</w:t>
      </w:r>
      <w:r w:rsidR="00DD6989" w:rsidRPr="009B345D">
        <w:rPr>
          <w:spacing w:val="-2"/>
          <w:sz w:val="22"/>
          <w:szCs w:val="22"/>
        </w:rPr>
        <w:t>3.8</w:t>
      </w:r>
      <w:r w:rsidRPr="009B345D">
        <w:rPr>
          <w:spacing w:val="-2"/>
          <w:sz w:val="22"/>
          <w:szCs w:val="22"/>
        </w:rPr>
        <w:t xml:space="preserve"> million in the </w:t>
      </w:r>
      <w:r w:rsidR="00DD6989" w:rsidRPr="009B345D">
        <w:rPr>
          <w:spacing w:val="-2"/>
          <w:sz w:val="22"/>
          <w:szCs w:val="22"/>
        </w:rPr>
        <w:t>second</w:t>
      </w:r>
      <w:r w:rsidRPr="009B345D">
        <w:rPr>
          <w:spacing w:val="-2"/>
          <w:sz w:val="22"/>
          <w:szCs w:val="22"/>
        </w:rPr>
        <w:t xml:space="preserve"> quarter of 2022.</w:t>
      </w:r>
      <w:r w:rsidRPr="00E82C3F">
        <w:rPr>
          <w:spacing w:val="-2"/>
          <w:sz w:val="22"/>
          <w:szCs w:val="22"/>
        </w:rPr>
        <w:t xml:space="preserve"> </w:t>
      </w:r>
    </w:p>
    <w:p w14:paraId="224F31F1"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533BBB06" w14:textId="77777777" w:rsidR="00E82C3F" w:rsidRPr="00E82C3F" w:rsidRDefault="00E82C3F" w:rsidP="00E82C3F">
      <w:pPr>
        <w:widowControl w:val="0"/>
        <w:autoSpaceDE w:val="0"/>
        <w:autoSpaceDN w:val="0"/>
        <w:adjustRightInd w:val="0"/>
        <w:ind w:firstLine="720"/>
        <w:jc w:val="both"/>
        <w:rPr>
          <w:spacing w:val="-2"/>
          <w:sz w:val="22"/>
          <w:szCs w:val="22"/>
        </w:rPr>
      </w:pPr>
      <w:r w:rsidRPr="00E82C3F">
        <w:rPr>
          <w:sz w:val="22"/>
          <w:szCs w:val="22"/>
        </w:rPr>
        <w:t xml:space="preserve">We experience fluctuations in our revenue and results of operations as we replace and begin new projects, which may have some normal start-up delays, or we may be unable to replace a project entirely or on terms that are as attractive to us as the project that is being replaced. </w:t>
      </w:r>
      <w:r w:rsidRPr="00E82C3F">
        <w:rPr>
          <w:spacing w:val="-2"/>
          <w:sz w:val="22"/>
          <w:szCs w:val="22"/>
        </w:rPr>
        <w:t xml:space="preserve">These and other factors may contribute to fluctuations in our results of operations from quarter to quarter. </w:t>
      </w:r>
    </w:p>
    <w:p w14:paraId="3582B22B"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71F9DF0E"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A high percentage of our operating expenses, particularly personnel and rent, are relatively fixed in advance of any particular quarter. As a result, unanticipated variations in the number and timing of our projects, or in employee wage levels and utilization rates, may cause us to significantly underutilize our production capacity and employees, resulting in significant variations in our operating results in any particular quarter, and have resulted in losses.</w:t>
      </w:r>
    </w:p>
    <w:p w14:paraId="19EF0836" w14:textId="77777777" w:rsidR="00E82C3F" w:rsidRPr="00E82C3F" w:rsidRDefault="00E82C3F" w:rsidP="00E82C3F">
      <w:pPr>
        <w:widowControl w:val="0"/>
        <w:autoSpaceDE w:val="0"/>
        <w:autoSpaceDN w:val="0"/>
        <w:adjustRightInd w:val="0"/>
        <w:jc w:val="both"/>
        <w:rPr>
          <w:sz w:val="22"/>
          <w:szCs w:val="22"/>
        </w:rPr>
      </w:pPr>
    </w:p>
    <w:p w14:paraId="14C49CB0" w14:textId="77777777" w:rsidR="00803325" w:rsidRPr="00803325" w:rsidRDefault="00803325" w:rsidP="00803325">
      <w:pPr>
        <w:jc w:val="both"/>
        <w:textAlignment w:val="baseline"/>
      </w:pPr>
      <w:r w:rsidRPr="00803325">
        <w:rPr>
          <w:b/>
          <w:bCs/>
          <w:sz w:val="22"/>
          <w:szCs w:val="22"/>
          <w:bdr w:val="none" w:sz="0" w:space="0" w:color="auto" w:frame="1"/>
        </w:rPr>
        <w:t>Weakness in the global economy, and in particular in the United States, Europe and the United Kingdom, could negatively impact our revenue and operating results.</w:t>
      </w:r>
    </w:p>
    <w:p w14:paraId="55BBBA2B" w14:textId="3F096742" w:rsidR="00803325" w:rsidRPr="00803325" w:rsidRDefault="00803325" w:rsidP="00803325">
      <w:pPr>
        <w:jc w:val="both"/>
        <w:textAlignment w:val="baseline"/>
      </w:pPr>
    </w:p>
    <w:p w14:paraId="1DE1E03C" w14:textId="24C00F63" w:rsidR="00803325" w:rsidRPr="00803325" w:rsidRDefault="00803325" w:rsidP="00803325">
      <w:pPr>
        <w:ind w:firstLine="720"/>
        <w:jc w:val="both"/>
        <w:textAlignment w:val="baseline"/>
      </w:pPr>
      <w:r w:rsidRPr="00803325">
        <w:rPr>
          <w:sz w:val="22"/>
          <w:szCs w:val="22"/>
        </w:rPr>
        <w:t>The U</w:t>
      </w:r>
      <w:r w:rsidR="0043773E">
        <w:rPr>
          <w:sz w:val="22"/>
          <w:szCs w:val="22"/>
        </w:rPr>
        <w:t>nited States</w:t>
      </w:r>
      <w:r w:rsidRPr="00803325">
        <w:rPr>
          <w:sz w:val="22"/>
          <w:szCs w:val="22"/>
        </w:rPr>
        <w:t>, Europe,</w:t>
      </w:r>
      <w:r>
        <w:rPr>
          <w:sz w:val="22"/>
          <w:szCs w:val="22"/>
        </w:rPr>
        <w:t xml:space="preserve"> the</w:t>
      </w:r>
      <w:r w:rsidRPr="00803325">
        <w:rPr>
          <w:sz w:val="22"/>
          <w:szCs w:val="22"/>
        </w:rPr>
        <w:t xml:space="preserve"> U</w:t>
      </w:r>
      <w:r w:rsidR="0043773E">
        <w:rPr>
          <w:sz w:val="22"/>
          <w:szCs w:val="22"/>
        </w:rPr>
        <w:t>nited Kingdom</w:t>
      </w:r>
      <w:r w:rsidRPr="00803325">
        <w:rPr>
          <w:sz w:val="22"/>
          <w:szCs w:val="22"/>
        </w:rPr>
        <w:t xml:space="preserve"> and other economies may suffer from uncertainty, volatility, disruption, and other adverse conditions, such as inflation, and these conditions have adversely </w:t>
      </w:r>
      <w:r w:rsidRPr="00803325">
        <w:rPr>
          <w:sz w:val="22"/>
          <w:szCs w:val="22"/>
        </w:rPr>
        <w:lastRenderedPageBreak/>
        <w:t>impacted and may continue to adversely impact the business community and the financial markets. Adverse economic and financial market conditions may negatively affect our customers and our markets, thereby negatively impacting our revenue and operating results. For example, weak market conditions have extended, and could continue to extend, the length of our sales cycle and cause potential customers to delay, defer, or decline to make purchases of our services, platforms, and solutions due to uncertainties surrounding the future performance of their businesses, limitations on their expenditures due to internal budget constraints, and the adverse </w:t>
      </w:r>
      <w:r w:rsidRPr="00803325">
        <w:rPr>
          <w:sz w:val="22"/>
          <w:szCs w:val="22"/>
          <w:bdr w:val="none" w:sz="0" w:space="0" w:color="auto" w:frame="1"/>
          <w:shd w:val="clear" w:color="auto" w:fill="FFFFFF"/>
        </w:rPr>
        <w:t>effects</w:t>
      </w:r>
      <w:r w:rsidRPr="00803325">
        <w:rPr>
          <w:sz w:val="22"/>
          <w:szCs w:val="22"/>
        </w:rPr>
        <w:t> </w:t>
      </w:r>
      <w:r w:rsidRPr="00803325">
        <w:rPr>
          <w:sz w:val="22"/>
          <w:szCs w:val="22"/>
          <w:bdr w:val="none" w:sz="0" w:space="0" w:color="auto" w:frame="1"/>
          <w:shd w:val="clear" w:color="auto" w:fill="FFFFFF"/>
        </w:rPr>
        <w:t>of</w:t>
      </w:r>
      <w:r w:rsidRPr="00803325">
        <w:rPr>
          <w:sz w:val="22"/>
          <w:szCs w:val="22"/>
        </w:rPr>
        <w:t> the </w:t>
      </w:r>
      <w:r w:rsidRPr="00803325">
        <w:rPr>
          <w:sz w:val="22"/>
          <w:szCs w:val="22"/>
          <w:bdr w:val="none" w:sz="0" w:space="0" w:color="auto" w:frame="1"/>
          <w:shd w:val="clear" w:color="auto" w:fill="FFFFFF"/>
        </w:rPr>
        <w:t>economy</w:t>
      </w:r>
      <w:r w:rsidRPr="00803325">
        <w:rPr>
          <w:sz w:val="22"/>
          <w:szCs w:val="22"/>
        </w:rPr>
        <w:t> on their business and financial condition. As a result, if economic and financial market conditions weaken or deteriorate, then our revenue and operating results, including our ability to grow and expand our business and operations, could be materially and adversely affected.</w:t>
      </w:r>
    </w:p>
    <w:p w14:paraId="791A9705" w14:textId="77777777" w:rsidR="00803325" w:rsidRDefault="00803325" w:rsidP="00E82C3F">
      <w:pPr>
        <w:widowControl w:val="0"/>
        <w:autoSpaceDE w:val="0"/>
        <w:autoSpaceDN w:val="0"/>
        <w:adjustRightInd w:val="0"/>
        <w:jc w:val="both"/>
        <w:rPr>
          <w:b/>
          <w:sz w:val="22"/>
          <w:szCs w:val="22"/>
        </w:rPr>
      </w:pPr>
    </w:p>
    <w:p w14:paraId="021AB74B" w14:textId="5875445D" w:rsidR="00E82C3F" w:rsidRPr="00E82C3F" w:rsidRDefault="00803325" w:rsidP="00E82C3F">
      <w:pPr>
        <w:widowControl w:val="0"/>
        <w:autoSpaceDE w:val="0"/>
        <w:autoSpaceDN w:val="0"/>
        <w:adjustRightInd w:val="0"/>
        <w:jc w:val="both"/>
        <w:rPr>
          <w:b/>
          <w:sz w:val="22"/>
          <w:szCs w:val="22"/>
        </w:rPr>
      </w:pPr>
      <w:r>
        <w:rPr>
          <w:b/>
          <w:sz w:val="22"/>
          <w:szCs w:val="22"/>
        </w:rPr>
        <w:t>P</w:t>
      </w:r>
      <w:r w:rsidR="00E82C3F" w:rsidRPr="00E82C3F">
        <w:rPr>
          <w:b/>
          <w:sz w:val="22"/>
          <w:szCs w:val="22"/>
        </w:rPr>
        <w:t xml:space="preserve">ricing pressures could negatively impact our revenues and operating results. </w:t>
      </w:r>
    </w:p>
    <w:p w14:paraId="55F66A26" w14:textId="77777777" w:rsidR="00E82C3F" w:rsidRPr="00E82C3F" w:rsidRDefault="00E82C3F" w:rsidP="00E82C3F">
      <w:pPr>
        <w:spacing w:before="180"/>
        <w:ind w:firstLine="720"/>
        <w:jc w:val="both"/>
        <w:rPr>
          <w:sz w:val="22"/>
          <w:szCs w:val="22"/>
        </w:rPr>
      </w:pPr>
      <w:r w:rsidRPr="00E82C3F">
        <w:rPr>
          <w:sz w:val="22"/>
          <w:szCs w:val="22"/>
        </w:rPr>
        <w:t xml:space="preserve">Due to the intense competition involved in outsourcing and information technology services, we generally face pricing pressures from our customers due to competition from other companies in our markets. Our ability to maintain or increase pricing is restricted as customers generally expect to receive volume discounts or special pricing incentives as we do more business with them; moreover, our large customers may exercise pressure for discounts outside of agreed terms. </w:t>
      </w:r>
    </w:p>
    <w:p w14:paraId="69530C98" w14:textId="77777777" w:rsidR="00E82C3F" w:rsidRPr="00E82C3F" w:rsidRDefault="00E82C3F" w:rsidP="00E82C3F">
      <w:pPr>
        <w:keepNext/>
        <w:widowControl w:val="0"/>
        <w:autoSpaceDE w:val="0"/>
        <w:autoSpaceDN w:val="0"/>
        <w:adjustRightInd w:val="0"/>
        <w:jc w:val="both"/>
        <w:rPr>
          <w:b/>
          <w:bCs/>
          <w:sz w:val="22"/>
          <w:szCs w:val="22"/>
        </w:rPr>
      </w:pPr>
    </w:p>
    <w:p w14:paraId="32171D6E" w14:textId="77777777" w:rsidR="00E82C3F" w:rsidRPr="00E82C3F" w:rsidRDefault="00E82C3F" w:rsidP="00E82C3F">
      <w:pPr>
        <w:keepNext/>
        <w:widowControl w:val="0"/>
        <w:autoSpaceDE w:val="0"/>
        <w:autoSpaceDN w:val="0"/>
        <w:adjustRightInd w:val="0"/>
        <w:jc w:val="both"/>
        <w:rPr>
          <w:sz w:val="22"/>
          <w:szCs w:val="22"/>
        </w:rPr>
      </w:pPr>
      <w:r w:rsidRPr="00E82C3F">
        <w:rPr>
          <w:b/>
          <w:bCs/>
          <w:sz w:val="22"/>
          <w:szCs w:val="22"/>
        </w:rPr>
        <w:t>Our profitability could suffer if we are not able to maintain pricing on our existing projects and win new projects at appropriate margins. If our pricing structures do not accurately anticipate the cost and complexity of performing our services and providing our platforms and solutions, then our contracts could be unprofitable.</w:t>
      </w:r>
    </w:p>
    <w:p w14:paraId="3BD0C241" w14:textId="77777777" w:rsidR="00E82C3F" w:rsidRPr="00E82C3F" w:rsidRDefault="00E82C3F" w:rsidP="00E82C3F">
      <w:pPr>
        <w:widowControl w:val="0"/>
        <w:autoSpaceDE w:val="0"/>
        <w:autoSpaceDN w:val="0"/>
        <w:adjustRightInd w:val="0"/>
        <w:spacing w:before="180"/>
        <w:ind w:firstLine="720"/>
        <w:jc w:val="both"/>
        <w:rPr>
          <w:sz w:val="22"/>
          <w:szCs w:val="22"/>
        </w:rPr>
      </w:pPr>
      <w:r w:rsidRPr="00E82C3F">
        <w:rPr>
          <w:sz w:val="22"/>
          <w:szCs w:val="22"/>
        </w:rPr>
        <w:t>Our profit margin, and therefore our profitability, is dependent on the rates we are able to charge for our services, platforms and solutions measured against the costs of providing the service, platform or solution. If we are not able to maintain pricing on our existing services, platforms and solutions and win new projects at profitable margins, or if we underestimate the costs or complexities of new projects and incur losses, our profitability could suffer. The amounts we are able to recover for our services, platforms and solutions are affected by a number of factors, including competition, volume fluctuations, productivity of employees and processes, the value our customer derives from our services, platforms and solutions and general economic and political conditions.  </w:t>
      </w:r>
    </w:p>
    <w:p w14:paraId="52B9016B" w14:textId="77777777" w:rsidR="00E82C3F" w:rsidRPr="00E82C3F" w:rsidRDefault="00E82C3F" w:rsidP="00E82C3F">
      <w:pPr>
        <w:widowControl w:val="0"/>
        <w:autoSpaceDE w:val="0"/>
        <w:autoSpaceDN w:val="0"/>
        <w:adjustRightInd w:val="0"/>
        <w:spacing w:before="180"/>
        <w:ind w:firstLine="720"/>
        <w:jc w:val="both"/>
        <w:rPr>
          <w:sz w:val="22"/>
          <w:szCs w:val="22"/>
        </w:rPr>
      </w:pPr>
      <w:r w:rsidRPr="00E82C3F">
        <w:rPr>
          <w:sz w:val="22"/>
          <w:szCs w:val="22"/>
        </w:rPr>
        <w:t xml:space="preserve">  Furthermore, we provide services and solutions either on a time-and-materials basis or on a fixed-price basis. Our pricing is highly dependent on our internal forecasts and predictions about our projects, which might be based on limited data and could turn out to be inaccurate. If we do not accurately estimate the costs and timing for completing projects, our contracts could prove unprofitable for us or yield lower profit margins than anticipated. </w:t>
      </w:r>
    </w:p>
    <w:p w14:paraId="1E783C7E" w14:textId="77777777" w:rsidR="00E82C3F" w:rsidRPr="00E82C3F" w:rsidRDefault="00E82C3F" w:rsidP="00E82C3F">
      <w:pPr>
        <w:widowControl w:val="0"/>
        <w:autoSpaceDE w:val="0"/>
        <w:autoSpaceDN w:val="0"/>
        <w:adjustRightInd w:val="0"/>
        <w:rPr>
          <w:b/>
          <w:bCs/>
          <w:sz w:val="22"/>
          <w:szCs w:val="22"/>
          <w:bdr w:val="none" w:sz="0" w:space="0" w:color="auto" w:frame="1"/>
        </w:rPr>
      </w:pPr>
    </w:p>
    <w:p w14:paraId="05B5605B" w14:textId="77777777" w:rsidR="00E82C3F" w:rsidRPr="00E82C3F" w:rsidRDefault="00E82C3F" w:rsidP="00E82C3F">
      <w:pPr>
        <w:jc w:val="both"/>
        <w:rPr>
          <w:sz w:val="22"/>
          <w:szCs w:val="22"/>
        </w:rPr>
      </w:pPr>
      <w:r w:rsidRPr="00E82C3F">
        <w:rPr>
          <w:b/>
          <w:bCs/>
          <w:sz w:val="22"/>
          <w:szCs w:val="22"/>
        </w:rPr>
        <w:t xml:space="preserve">We may not be able to obtain price or volume increases that are necessary to offset the effect of wage inflation and other government mandated cost increases.  </w:t>
      </w:r>
    </w:p>
    <w:p w14:paraId="1A3E277A" w14:textId="77777777" w:rsidR="00E82C3F" w:rsidRPr="00E82C3F" w:rsidRDefault="00E82C3F" w:rsidP="00E82C3F">
      <w:pPr>
        <w:spacing w:before="180"/>
        <w:ind w:firstLine="720"/>
        <w:jc w:val="both"/>
        <w:rPr>
          <w:sz w:val="22"/>
          <w:szCs w:val="22"/>
        </w:rPr>
      </w:pPr>
      <w:r w:rsidRPr="00E82C3F">
        <w:rPr>
          <w:sz w:val="22"/>
          <w:szCs w:val="22"/>
        </w:rPr>
        <w:t xml:space="preserve">We have experienced wage inflation and other government mandated cost increases in the Asian countries where we have the majority of our operations. In addition, we may experience adverse fluctuations in foreign currency exchange rates. These global events have put pressure on our profitability and our margins. Although we have tried to partially offset wage increases, foreign currency fluctuations and other such increases through price increases and improving our efficiency, we cannot ensure that we will be able to continue to do so in the future, which could negatively impact our results of operations. </w:t>
      </w:r>
    </w:p>
    <w:p w14:paraId="5D7D316F" w14:textId="77777777" w:rsidR="00E82C3F" w:rsidRPr="00E82C3F" w:rsidRDefault="00E82C3F" w:rsidP="00E82C3F">
      <w:pPr>
        <w:jc w:val="both"/>
        <w:rPr>
          <w:b/>
          <w:bCs/>
          <w:sz w:val="22"/>
          <w:szCs w:val="22"/>
        </w:rPr>
      </w:pPr>
    </w:p>
    <w:p w14:paraId="26DE5F6B"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r w:rsidRPr="00E82C3F">
        <w:rPr>
          <w:b/>
          <w:bCs/>
          <w:spacing w:val="-2"/>
          <w:sz w:val="22"/>
          <w:szCs w:val="22"/>
        </w:rPr>
        <w:t>Our international operations subject us to currency exchange fluctuations, which could adversely affect our results of operations.</w:t>
      </w:r>
    </w:p>
    <w:p w14:paraId="3BFF5B85"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4E66DA60" w14:textId="231F1B82" w:rsidR="00E82C3F" w:rsidRPr="00E82C3F" w:rsidRDefault="00E82C3F" w:rsidP="00E82C3F">
      <w:pPr>
        <w:widowControl w:val="0"/>
        <w:autoSpaceDE w:val="0"/>
        <w:autoSpaceDN w:val="0"/>
        <w:adjustRightInd w:val="0"/>
        <w:ind w:firstLine="720"/>
        <w:jc w:val="both"/>
        <w:rPr>
          <w:spacing w:val="-2"/>
          <w:sz w:val="22"/>
          <w:szCs w:val="22"/>
        </w:rPr>
      </w:pPr>
      <w:r w:rsidRPr="00E82C3F">
        <w:rPr>
          <w:spacing w:val="-2"/>
          <w:sz w:val="22"/>
          <w:szCs w:val="22"/>
        </w:rPr>
        <w:t xml:space="preserve">Although most of our revenues are denominated in U.S. dollars, a significant portion of our revenues are denominated in Canadian dollars, Pound Sterling and Euros. In addition, a significant portion of our expenses, primarily labor expenses in the Philippines, India, Sri Lanka, Germany, Canada, the United Kingdom and Israel, </w:t>
      </w:r>
      <w:r w:rsidRPr="00E82C3F">
        <w:rPr>
          <w:spacing w:val="-2"/>
          <w:sz w:val="22"/>
          <w:szCs w:val="22"/>
        </w:rPr>
        <w:lastRenderedPageBreak/>
        <w:t>are incurred in the local currencies of the countries in which we operate. For financial reporting purposes, we translate all non-U.S. denominated transactions into U.S. dollars in accordance with accounting principles generally accepted in the United States (U.S. GAAP).  Fluctuations in the value of these currencies relative to the U.S. dollar</w:t>
      </w:r>
      <w:r w:rsidR="004160BE">
        <w:rPr>
          <w:spacing w:val="-2"/>
          <w:sz w:val="22"/>
          <w:szCs w:val="22"/>
        </w:rPr>
        <w:t xml:space="preserve"> have in the past and could in the future continue to</w:t>
      </w:r>
      <w:r w:rsidRPr="00E82C3F">
        <w:rPr>
          <w:spacing w:val="-2"/>
          <w:sz w:val="22"/>
          <w:szCs w:val="22"/>
        </w:rPr>
        <w:t xml:space="preserve"> have a direct impact on our revenues and our results of operations. </w:t>
      </w:r>
    </w:p>
    <w:p w14:paraId="5AD485A4" w14:textId="77777777" w:rsidR="00E82C3F" w:rsidRPr="00E82C3F" w:rsidRDefault="00E82C3F" w:rsidP="00E82C3F">
      <w:pPr>
        <w:widowControl w:val="0"/>
        <w:autoSpaceDE w:val="0"/>
        <w:autoSpaceDN w:val="0"/>
        <w:adjustRightInd w:val="0"/>
        <w:ind w:firstLine="720"/>
        <w:jc w:val="both"/>
        <w:rPr>
          <w:spacing w:val="-2"/>
          <w:sz w:val="22"/>
          <w:szCs w:val="22"/>
        </w:rPr>
      </w:pPr>
    </w:p>
    <w:p w14:paraId="2617CC95"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 xml:space="preserve">The Philippines, India and Sri Lanka have, at times, experienced high rates of inflation, as well as major fluctuations in the exchange rate between such foreign currencies and the U.S. dollar. </w:t>
      </w:r>
    </w:p>
    <w:p w14:paraId="7A102819"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p>
    <w:p w14:paraId="58DF3B38"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We are also subject to fluctuations in exchange rates that affect the value of funds held by our foreign subsidiaries.</w:t>
      </w:r>
    </w:p>
    <w:p w14:paraId="06EFC22B"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p>
    <w:p w14:paraId="36F89189"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Although we selectively undertake hedging activities to mitigate certain of these risks, our hedging activities may not be effective and may result in losses. See Note 14, “Derivatives,” to the consolidated financial statements.</w:t>
      </w:r>
    </w:p>
    <w:p w14:paraId="78F40B29"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z w:val="22"/>
          <w:szCs w:val="22"/>
          <w:shd w:val="clear" w:color="auto" w:fill="FFFFFF"/>
          <w:lang w:bidi="he-IL"/>
        </w:rPr>
        <w:t xml:space="preserve">   </w:t>
      </w:r>
    </w:p>
    <w:p w14:paraId="455D0E4B" w14:textId="77777777" w:rsidR="00E82C3F" w:rsidRPr="00E82C3F" w:rsidRDefault="00E82C3F" w:rsidP="00E82C3F">
      <w:pPr>
        <w:jc w:val="both"/>
        <w:rPr>
          <w:b/>
          <w:sz w:val="22"/>
          <w:szCs w:val="22"/>
        </w:rPr>
      </w:pPr>
      <w:r w:rsidRPr="00E82C3F">
        <w:rPr>
          <w:b/>
          <w:sz w:val="22"/>
          <w:szCs w:val="22"/>
        </w:rPr>
        <w:t xml:space="preserve">In the event that the governments of India or the Philippines or the government of another country changes its tax policies, rules and regulations, our tax expense may increase and affect our effective tax rates.  </w:t>
      </w:r>
    </w:p>
    <w:p w14:paraId="1DFA2A64" w14:textId="77777777" w:rsidR="00E82C3F" w:rsidRPr="00E82C3F" w:rsidRDefault="00E82C3F" w:rsidP="00E82C3F">
      <w:pPr>
        <w:spacing w:before="180"/>
        <w:ind w:firstLine="720"/>
        <w:jc w:val="both"/>
        <w:rPr>
          <w:sz w:val="22"/>
          <w:szCs w:val="22"/>
        </w:rPr>
      </w:pPr>
      <w:r w:rsidRPr="00E82C3F">
        <w:rPr>
          <w:sz w:val="22"/>
          <w:szCs w:val="22"/>
        </w:rPr>
        <w:t xml:space="preserve">We are subject to income taxes in both the U.S. and numerous foreign jurisdictions. We are subject to the continual examination by tax authorities in India and in the Philippines, and we assess the likelihood of outcomes resulting from these examinations to determine the adequacy of its provision for income taxes. Although we believe our tax estimates are reasonable, the final determination of tax audits could be materially different from what is reflected in historical income tax and indirect tax provisions and accruals, and could result in a material effect on our income tax provision, indirect tax expenses, net income or cash flows in the period or periods for which that determination is made. If additional taxes are assessed, it could have an adverse impact on our financial results. </w:t>
      </w:r>
    </w:p>
    <w:p w14:paraId="2138FB52" w14:textId="77777777" w:rsidR="00E82C3F" w:rsidRPr="00E82C3F" w:rsidRDefault="00E82C3F" w:rsidP="00E82C3F">
      <w:pPr>
        <w:spacing w:before="180"/>
        <w:ind w:firstLine="720"/>
        <w:jc w:val="both"/>
        <w:rPr>
          <w:sz w:val="22"/>
          <w:szCs w:val="22"/>
        </w:rPr>
      </w:pPr>
      <w:r w:rsidRPr="00E82C3F">
        <w:rPr>
          <w:sz w:val="22"/>
          <w:szCs w:val="22"/>
        </w:rPr>
        <w:t xml:space="preserve">In addition, changes in the tax rates, tax laws or the interpretation of tax laws in the jurisdictions where we operate, could affect our future results of operations. </w:t>
      </w:r>
    </w:p>
    <w:p w14:paraId="220E4D16" w14:textId="77777777" w:rsidR="00E82C3F" w:rsidRPr="00E82C3F" w:rsidRDefault="00E82C3F" w:rsidP="00E82C3F">
      <w:pPr>
        <w:widowControl w:val="0"/>
        <w:autoSpaceDE w:val="0"/>
        <w:autoSpaceDN w:val="0"/>
        <w:adjustRightInd w:val="0"/>
        <w:ind w:firstLine="720"/>
        <w:rPr>
          <w:sz w:val="22"/>
          <w:szCs w:val="22"/>
        </w:rPr>
      </w:pPr>
    </w:p>
    <w:p w14:paraId="19B005BC" w14:textId="55C0A8E6"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In September 2015, the Company’s Indian subsidiary was subject to an inquiry by the Service Tax Department in India regarding the classification of services provided by this subsidiary, asserting that the services provided by this subsidiary fall under the category of online information and database access or retrieval services (“OID Services”), and not under the category of business support services (“BS Services”) that are exempt from service tax as historically indicated in the subsidiary’s service tax filings. Our management disagrees with the Service Tax Department’s position. In November 2019, the Commissioner of Central Tax, GST &amp; Central Excise issued an order confirming the Service Tax Department’s position. The Company is contesting this order in an appeal to the Customs, Excise and Service Tax Appellate Tribunal.  In the event the Service Tax Department is ultimately successful in proving that the services fall under the category of OID Services, the revenues earned by the Company’s Indian subsidiary for the period July 2012 through November 2016 would be subject to a service tax of between 12.36% and 15%, and this subsidiary may also be liable to pay interest and penalties. The revenue of our Indian subsidiary during this period was approximately </w:t>
      </w:r>
      <w:r w:rsidRPr="00D87290">
        <w:rPr>
          <w:sz w:val="22"/>
          <w:szCs w:val="22"/>
        </w:rPr>
        <w:t>$</w:t>
      </w:r>
      <w:r w:rsidR="00B212C8" w:rsidRPr="00D87290">
        <w:rPr>
          <w:sz w:val="22"/>
          <w:szCs w:val="22"/>
        </w:rPr>
        <w:t>57.0</w:t>
      </w:r>
      <w:r w:rsidRPr="00D87290">
        <w:rPr>
          <w:sz w:val="22"/>
          <w:szCs w:val="22"/>
        </w:rPr>
        <w:t xml:space="preserve"> </w:t>
      </w:r>
      <w:r w:rsidRPr="00E62215">
        <w:rPr>
          <w:sz w:val="22"/>
          <w:szCs w:val="22"/>
        </w:rPr>
        <w:t>million</w:t>
      </w:r>
      <w:r w:rsidRPr="00D87290">
        <w:rPr>
          <w:sz w:val="22"/>
          <w:szCs w:val="22"/>
        </w:rPr>
        <w:t>. In</w:t>
      </w:r>
      <w:r w:rsidRPr="00E82C3F">
        <w:rPr>
          <w:sz w:val="22"/>
          <w:szCs w:val="22"/>
        </w:rPr>
        <w:t xml:space="preserve"> accordance with new rules promulgated by the Service Tax Department, as of December 1, 2016 service tax is no longer applicable to OID or BS Services. Based on the Company’s assessment, in consultation with our tax counsel, the Company has not recorded any tax liability for this case.</w:t>
      </w:r>
    </w:p>
    <w:p w14:paraId="10D8AE61" w14:textId="77777777" w:rsidR="00E82C3F" w:rsidRPr="00E82C3F" w:rsidRDefault="00E82C3F" w:rsidP="00E82C3F">
      <w:pPr>
        <w:widowControl w:val="0"/>
        <w:autoSpaceDE w:val="0"/>
        <w:autoSpaceDN w:val="0"/>
        <w:adjustRightInd w:val="0"/>
        <w:ind w:firstLine="720"/>
        <w:jc w:val="both"/>
        <w:rPr>
          <w:sz w:val="22"/>
          <w:szCs w:val="22"/>
        </w:rPr>
      </w:pPr>
    </w:p>
    <w:p w14:paraId="63A671BD" w14:textId="7FA4E71C" w:rsidR="00E82C3F" w:rsidRPr="00E82C3F" w:rsidRDefault="00E82C3F" w:rsidP="00E82C3F">
      <w:pPr>
        <w:widowControl w:val="0"/>
        <w:autoSpaceDE w:val="0"/>
        <w:autoSpaceDN w:val="0"/>
        <w:adjustRightInd w:val="0"/>
        <w:ind w:firstLine="720"/>
        <w:jc w:val="both"/>
        <w:rPr>
          <w:sz w:val="22"/>
          <w:szCs w:val="22"/>
        </w:rPr>
      </w:pPr>
      <w:bookmarkStart w:id="9" w:name="_Hlk125744114"/>
      <w:r w:rsidRPr="00E82C3F">
        <w:rPr>
          <w:sz w:val="22"/>
          <w:szCs w:val="22"/>
        </w:rPr>
        <w:t xml:space="preserve">In a separate action relating to service tax refunds, in October 2016, the Company’s Indian subsidiary received notices from the Indian Service Tax Department in India seeking to reverse service tax refunds of approximately </w:t>
      </w:r>
      <w:r w:rsidRPr="00216AD6">
        <w:rPr>
          <w:sz w:val="22"/>
          <w:szCs w:val="22"/>
        </w:rPr>
        <w:t>$</w:t>
      </w:r>
      <w:r w:rsidR="009107DE" w:rsidRPr="00216AD6">
        <w:rPr>
          <w:sz w:val="22"/>
          <w:szCs w:val="22"/>
        </w:rPr>
        <w:t>12</w:t>
      </w:r>
      <w:r w:rsidR="00107864">
        <w:rPr>
          <w:sz w:val="22"/>
          <w:szCs w:val="22"/>
        </w:rPr>
        <w:t>1</w:t>
      </w:r>
      <w:r w:rsidRPr="00216AD6">
        <w:rPr>
          <w:sz w:val="22"/>
          <w:szCs w:val="22"/>
        </w:rPr>
        <w:t>,000</w:t>
      </w:r>
      <w:r w:rsidRPr="00E82C3F">
        <w:rPr>
          <w:sz w:val="22"/>
          <w:szCs w:val="22"/>
        </w:rPr>
        <w:t xml:space="preserve"> previously granted to our Indian subsidiary for three quarters in 2014, asserting that the services provided by this subsidiary fall under the category of OID Services and not BS Services. The appeal was determined in favor of the Service Tax Department. Management disagrees with the basis of this decision and is contesting it. The Company expects delays in its Indian subsidiary receiving further service tax refunds </w:t>
      </w:r>
      <w:r w:rsidRPr="00E82C3F">
        <w:rPr>
          <w:sz w:val="22"/>
          <w:szCs w:val="22"/>
        </w:rPr>
        <w:lastRenderedPageBreak/>
        <w:t>until this matter is adjudicated with finality, and currently has service tax credits of approximately $</w:t>
      </w:r>
      <w:r w:rsidR="0034146D" w:rsidRPr="00E62215">
        <w:rPr>
          <w:sz w:val="22"/>
          <w:szCs w:val="22"/>
        </w:rPr>
        <w:t>0.</w:t>
      </w:r>
      <w:r w:rsidR="00A057A8">
        <w:rPr>
          <w:sz w:val="22"/>
          <w:szCs w:val="22"/>
        </w:rPr>
        <w:t>8</w:t>
      </w:r>
      <w:r w:rsidR="00A057A8" w:rsidRPr="00D87290">
        <w:rPr>
          <w:sz w:val="22"/>
          <w:szCs w:val="22"/>
        </w:rPr>
        <w:t xml:space="preserve"> </w:t>
      </w:r>
      <w:r w:rsidRPr="00D87290">
        <w:rPr>
          <w:sz w:val="22"/>
          <w:szCs w:val="22"/>
        </w:rPr>
        <w:t>million recorded as a receivable. Based on the Company’s assessment, in consultation with our tax counse</w:t>
      </w:r>
      <w:r w:rsidRPr="00E82C3F">
        <w:rPr>
          <w:sz w:val="22"/>
          <w:szCs w:val="22"/>
        </w:rPr>
        <w:t>l, the Company has not recorded any tax liability for this case.</w:t>
      </w:r>
    </w:p>
    <w:bookmarkEnd w:id="9"/>
    <w:p w14:paraId="036649D6" w14:textId="77777777" w:rsidR="00E82C3F" w:rsidRPr="00E82C3F" w:rsidRDefault="00E82C3F" w:rsidP="00E82C3F">
      <w:pPr>
        <w:widowControl w:val="0"/>
        <w:autoSpaceDE w:val="0"/>
        <w:autoSpaceDN w:val="0"/>
        <w:adjustRightInd w:val="0"/>
        <w:ind w:firstLine="720"/>
        <w:jc w:val="both"/>
        <w:rPr>
          <w:sz w:val="22"/>
          <w:szCs w:val="22"/>
        </w:rPr>
      </w:pPr>
    </w:p>
    <w:p w14:paraId="062B58FC"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Substantial recovery against us in the above referenced 2015 Service Tax Department case could have a material adverse impact on us, and unfavorable rulings or recoveries in other tax proceedings could have a material impact on the consolidated operating results of the period in which the rulings or recovery occurs. </w:t>
      </w:r>
    </w:p>
    <w:p w14:paraId="48015E8A"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p>
    <w:p w14:paraId="7794A74D"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r w:rsidRPr="00E82C3F">
        <w:rPr>
          <w:b/>
          <w:bCs/>
          <w:spacing w:val="-2"/>
          <w:sz w:val="22"/>
          <w:szCs w:val="22"/>
        </w:rPr>
        <w:t>If tax authorities in any of the jurisdictions in which we operate contest the manner in which we allocate our profits, our net loss could be higher.</w:t>
      </w:r>
    </w:p>
    <w:p w14:paraId="1CE326A4"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514E2A2F"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 xml:space="preserve">A significant portion of the services we provide to our customers are provided by our Asian subsidiaries located in different jurisdictions. Tax authorities in some of these jurisdictions have from time to time challenged the manner in which we allocate our profits among our subsidiaries, and we may not prevail in any future challenge of this type. If such a challenge were successful, our worldwide effective tax rate could increase, thereby decreasing our profitability. </w:t>
      </w:r>
    </w:p>
    <w:p w14:paraId="3EB5274A"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46B11008"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r w:rsidRPr="00E82C3F">
        <w:rPr>
          <w:b/>
          <w:bCs/>
          <w:spacing w:val="-2"/>
          <w:sz w:val="22"/>
          <w:szCs w:val="22"/>
        </w:rPr>
        <w:t>An expiration or termination of our preferential tax rate incentives could adversely affect our results of operations.</w:t>
      </w:r>
    </w:p>
    <w:p w14:paraId="11C0EE0F"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31795F2F"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z w:val="22"/>
          <w:szCs w:val="22"/>
        </w:rPr>
        <w:t xml:space="preserve">Two of our foreign subsidiaries are subject to preferential tax rates. </w:t>
      </w:r>
      <w:r w:rsidRPr="00E82C3F">
        <w:rPr>
          <w:spacing w:val="-2"/>
          <w:sz w:val="22"/>
          <w:szCs w:val="22"/>
        </w:rPr>
        <w:t xml:space="preserve">This tax incentive provides that we pay reduced income taxes with respect to those jurisdictions for a fixed period of time. An expiration or termination of these incentives could increase our worldwide effective tax rate, or increase our tax expense, thereby decreasing our net income and adversely affecting our results of operations.   </w:t>
      </w:r>
    </w:p>
    <w:p w14:paraId="18456E96" w14:textId="77777777" w:rsidR="00E82C3F" w:rsidRPr="00E82C3F" w:rsidRDefault="00E82C3F" w:rsidP="00E82C3F">
      <w:pPr>
        <w:widowControl w:val="0"/>
        <w:autoSpaceDE w:val="0"/>
        <w:autoSpaceDN w:val="0"/>
        <w:adjustRightInd w:val="0"/>
        <w:rPr>
          <w:b/>
          <w:bCs/>
          <w:sz w:val="22"/>
          <w:szCs w:val="22"/>
          <w:bdr w:val="none" w:sz="0" w:space="0" w:color="auto" w:frame="1"/>
        </w:rPr>
      </w:pPr>
    </w:p>
    <w:p w14:paraId="3AB0222C" w14:textId="77777777" w:rsidR="00E82C3F" w:rsidRPr="00E82C3F" w:rsidRDefault="00E82C3F" w:rsidP="00E82C3F">
      <w:pPr>
        <w:jc w:val="both"/>
        <w:rPr>
          <w:sz w:val="22"/>
          <w:szCs w:val="22"/>
        </w:rPr>
      </w:pPr>
      <w:r w:rsidRPr="00E82C3F">
        <w:rPr>
          <w:b/>
          <w:bCs/>
          <w:sz w:val="22"/>
          <w:szCs w:val="22"/>
        </w:rPr>
        <w:t xml:space="preserve">Our earnings may be adversely affected if we change our intent not to repatriate our foreign earnings and profits or if such earnings and profits become subject to U.S. tax on a current basis. </w:t>
      </w:r>
    </w:p>
    <w:p w14:paraId="121BB5DF" w14:textId="77777777" w:rsidR="00E82C3F" w:rsidRPr="00E82C3F" w:rsidRDefault="00E82C3F" w:rsidP="00E82C3F">
      <w:pPr>
        <w:widowControl w:val="0"/>
        <w:autoSpaceDE w:val="0"/>
        <w:autoSpaceDN w:val="0"/>
        <w:adjustRightInd w:val="0"/>
        <w:rPr>
          <w:sz w:val="22"/>
          <w:szCs w:val="22"/>
        </w:rPr>
      </w:pPr>
    </w:p>
    <w:p w14:paraId="4C1CF537" w14:textId="7B6F12FB"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A significant portion of our operations are conducted outside the U.S. Despite our access to the overseas earnings and the resulting toll charge, we intend to indefinitely reinvest the foreign earnings in our foreign subsidiaries on account of the foreign jurisdiction withholding tax that the Company has to incur on the actual remittances. </w:t>
      </w:r>
      <w:r w:rsidRPr="009B345D">
        <w:rPr>
          <w:sz w:val="22"/>
          <w:szCs w:val="22"/>
        </w:rPr>
        <w:t>Unremitted earnings of foreign subsidiaries amounted to approximately $50.</w:t>
      </w:r>
      <w:r w:rsidR="00332F5A" w:rsidRPr="009B345D">
        <w:rPr>
          <w:sz w:val="22"/>
          <w:szCs w:val="22"/>
        </w:rPr>
        <w:t>9</w:t>
      </w:r>
      <w:r w:rsidRPr="009B345D">
        <w:rPr>
          <w:sz w:val="22"/>
          <w:szCs w:val="22"/>
        </w:rPr>
        <w:t xml:space="preserve"> million at December 31, </w:t>
      </w:r>
      <w:r w:rsidR="001A55BD" w:rsidRPr="009B345D">
        <w:rPr>
          <w:sz w:val="22"/>
          <w:szCs w:val="22"/>
        </w:rPr>
        <w:t>202</w:t>
      </w:r>
      <w:r w:rsidR="001A55BD">
        <w:rPr>
          <w:sz w:val="22"/>
          <w:szCs w:val="22"/>
        </w:rPr>
        <w:t>2</w:t>
      </w:r>
      <w:r w:rsidRPr="00332F5A">
        <w:rPr>
          <w:sz w:val="22"/>
          <w:szCs w:val="22"/>
        </w:rPr>
        <w:t>.</w:t>
      </w:r>
      <w:r w:rsidRPr="00E82C3F">
        <w:rPr>
          <w:sz w:val="22"/>
          <w:szCs w:val="22"/>
        </w:rPr>
        <w:t xml:space="preserve"> If such earnings are repatriated in the future, or are no longer deemed to be indefinitely reinvested, the Company would have to accrue as a liability the applicable amount of foreign jurisdiction withholding taxes associated with such remittances.</w:t>
      </w:r>
    </w:p>
    <w:p w14:paraId="0DF82A95" w14:textId="77777777" w:rsidR="00E82C3F" w:rsidRPr="00E82C3F" w:rsidRDefault="00E82C3F" w:rsidP="00E82C3F">
      <w:pPr>
        <w:widowControl w:val="0"/>
        <w:shd w:val="clear" w:color="auto" w:fill="FFFFFF"/>
        <w:autoSpaceDE w:val="0"/>
        <w:autoSpaceDN w:val="0"/>
        <w:adjustRightInd w:val="0"/>
        <w:jc w:val="both"/>
        <w:textAlignment w:val="baseline"/>
        <w:rPr>
          <w:b/>
          <w:bCs/>
          <w:sz w:val="22"/>
          <w:szCs w:val="22"/>
          <w:bdr w:val="none" w:sz="0" w:space="0" w:color="auto" w:frame="1"/>
        </w:rPr>
      </w:pPr>
    </w:p>
    <w:p w14:paraId="04864351"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r w:rsidRPr="00E82C3F">
        <w:rPr>
          <w:b/>
          <w:bCs/>
          <w:spacing w:val="-2"/>
          <w:sz w:val="22"/>
          <w:szCs w:val="22"/>
        </w:rPr>
        <w:t>It is unlikely that we will pay dividends.</w:t>
      </w:r>
    </w:p>
    <w:p w14:paraId="2DD11BD8"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p>
    <w:p w14:paraId="4A2607C2"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 xml:space="preserve">We have not paid any cash dividends since our inception and do not anticipate paying any cash dividends in the foreseeable future. We expect that our earnings, if any, will be used to finance our growth. </w:t>
      </w:r>
    </w:p>
    <w:p w14:paraId="30047299" w14:textId="77777777" w:rsidR="00E82C3F" w:rsidRPr="00E82C3F" w:rsidRDefault="00E82C3F" w:rsidP="00E82C3F">
      <w:pPr>
        <w:widowControl w:val="0"/>
        <w:autoSpaceDE w:val="0"/>
        <w:autoSpaceDN w:val="0"/>
        <w:adjustRightInd w:val="0"/>
        <w:rPr>
          <w:b/>
          <w:bCs/>
          <w:sz w:val="22"/>
          <w:szCs w:val="22"/>
          <w:u w:val="single"/>
          <w:shd w:val="clear" w:color="auto" w:fill="FFFFFF"/>
        </w:rPr>
      </w:pPr>
    </w:p>
    <w:p w14:paraId="35AD183F" w14:textId="77777777" w:rsidR="00E82C3F" w:rsidRPr="00E82C3F" w:rsidRDefault="00E82C3F" w:rsidP="00E82C3F">
      <w:pPr>
        <w:widowControl w:val="0"/>
        <w:tabs>
          <w:tab w:val="left" w:pos="3943"/>
        </w:tabs>
        <w:autoSpaceDE w:val="0"/>
        <w:autoSpaceDN w:val="0"/>
        <w:adjustRightInd w:val="0"/>
        <w:rPr>
          <w:b/>
          <w:bCs/>
          <w:sz w:val="22"/>
          <w:szCs w:val="22"/>
          <w:u w:val="single"/>
          <w:shd w:val="clear" w:color="auto" w:fill="FFFFFF"/>
        </w:rPr>
      </w:pPr>
      <w:r w:rsidRPr="00E82C3F">
        <w:rPr>
          <w:b/>
          <w:bCs/>
          <w:sz w:val="22"/>
          <w:szCs w:val="22"/>
          <w:u w:val="single"/>
          <w:shd w:val="clear" w:color="auto" w:fill="FFFFFF"/>
        </w:rPr>
        <w:t>Risks Related to Laws and Regulations</w:t>
      </w:r>
    </w:p>
    <w:p w14:paraId="4C87F95C" w14:textId="77777777" w:rsidR="00E82C3F" w:rsidRPr="00E82C3F" w:rsidRDefault="00E82C3F" w:rsidP="00E82C3F">
      <w:pPr>
        <w:widowControl w:val="0"/>
        <w:autoSpaceDE w:val="0"/>
        <w:autoSpaceDN w:val="0"/>
        <w:adjustRightInd w:val="0"/>
        <w:rPr>
          <w:sz w:val="22"/>
          <w:szCs w:val="22"/>
          <w:u w:val="single"/>
        </w:rPr>
      </w:pPr>
    </w:p>
    <w:p w14:paraId="17761B69" w14:textId="77777777" w:rsidR="00E82C3F" w:rsidRPr="00E82C3F" w:rsidRDefault="00E82C3F" w:rsidP="00E82C3F">
      <w:pPr>
        <w:jc w:val="both"/>
        <w:rPr>
          <w:b/>
          <w:iCs/>
          <w:sz w:val="22"/>
          <w:szCs w:val="22"/>
        </w:rPr>
      </w:pPr>
      <w:r w:rsidRPr="00E82C3F">
        <w:rPr>
          <w:b/>
          <w:bCs/>
          <w:iCs/>
          <w:sz w:val="22"/>
          <w:szCs w:val="22"/>
        </w:rPr>
        <w:t>Governmental and customer focus on data security could increase our costs of operations. In addition, any incident in which we fail to protect our customer’s information against security breaches may result in monetary damages against us, and termination of our engagement by our customer, and may adversely impact our results of operations.</w:t>
      </w:r>
    </w:p>
    <w:p w14:paraId="29064E95" w14:textId="77777777" w:rsidR="00E82C3F" w:rsidRPr="00E82C3F" w:rsidRDefault="00E82C3F" w:rsidP="00E82C3F">
      <w:pPr>
        <w:widowControl w:val="0"/>
        <w:autoSpaceDE w:val="0"/>
        <w:autoSpaceDN w:val="0"/>
        <w:adjustRightInd w:val="0"/>
        <w:rPr>
          <w:sz w:val="22"/>
          <w:szCs w:val="22"/>
        </w:rPr>
      </w:pPr>
    </w:p>
    <w:p w14:paraId="72016FE2"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Certain laws and regulations regarding data privacy and security affecting our customers impose requirements regarding the privacy and security of information maintained by these customers, as well as notification to persons whose personal information is accessed by an unauthorized third party. As a result of any continuing legislative initiatives and customer demands, we may have to modify our operations with the goal of further improving data security. The cost of compliance with these laws and regulations is high and is </w:t>
      </w:r>
      <w:r w:rsidRPr="00E82C3F">
        <w:rPr>
          <w:sz w:val="22"/>
          <w:szCs w:val="22"/>
        </w:rPr>
        <w:lastRenderedPageBreak/>
        <w:t xml:space="preserve">likely to increase in the future. Any such modifications may result in increased expenses and operating complexity, and we may be unable to increase the rates we charge for our services sufficiently to offset these increases. In addition, as part of the services we perform, we have access to confidential customer data, including personal data. As a result, we are subject to numerous laws and regulations designed to protect this information. We may also be bound by certain customer agreements to use and disclose the confidential customer information in a manner consistent with the privacy standards under regulations applicable to such customer. Any failure on our part to comply with these laws and regulations can result in negative publicity and diversion of management’s time and effort and may subject us to significant liabilities and other penalties. </w:t>
      </w:r>
    </w:p>
    <w:p w14:paraId="3C2E356D" w14:textId="77777777" w:rsidR="00E82C3F" w:rsidRPr="00E82C3F" w:rsidRDefault="00E82C3F" w:rsidP="00E82C3F">
      <w:pPr>
        <w:widowControl w:val="0"/>
        <w:autoSpaceDE w:val="0"/>
        <w:autoSpaceDN w:val="0"/>
        <w:adjustRightInd w:val="0"/>
        <w:ind w:firstLine="720"/>
        <w:jc w:val="both"/>
        <w:rPr>
          <w:sz w:val="22"/>
          <w:szCs w:val="22"/>
        </w:rPr>
      </w:pPr>
    </w:p>
    <w:p w14:paraId="53C4680B"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If customer confidential information is inappropriately disclosed due to a breach of our computer systems, system failures or otherwise, or if any person, including any of our employees, negligently disregards or intentionally breaches controls or procedures with which we are responsible for complying with respect to such data or otherwise mismanages or misappropriates that data, we may have substantial liabilities to our customers. Any incidents with respect to the handling of such information could subject us to litigation or indemnification claims with our customers and other parties. In addition, any breach or alleged breach of our confidentiality agreements with our customers may result in termination of their engagements, resulting in associated loss of revenue and increased costs. </w:t>
      </w:r>
    </w:p>
    <w:p w14:paraId="30D858D8" w14:textId="77777777" w:rsidR="00E82C3F" w:rsidRPr="00E82C3F" w:rsidRDefault="00E82C3F" w:rsidP="00E82C3F">
      <w:pPr>
        <w:widowControl w:val="0"/>
        <w:autoSpaceDE w:val="0"/>
        <w:autoSpaceDN w:val="0"/>
        <w:adjustRightInd w:val="0"/>
        <w:ind w:firstLine="720"/>
        <w:jc w:val="both"/>
        <w:rPr>
          <w:sz w:val="22"/>
          <w:szCs w:val="22"/>
        </w:rPr>
      </w:pPr>
    </w:p>
    <w:p w14:paraId="76D5310E" w14:textId="77777777" w:rsidR="00E82C3F" w:rsidRPr="00E82C3F" w:rsidRDefault="00E82C3F" w:rsidP="00E82C3F">
      <w:pPr>
        <w:widowControl w:val="0"/>
        <w:autoSpaceDE w:val="0"/>
        <w:autoSpaceDN w:val="0"/>
        <w:adjustRightInd w:val="0"/>
        <w:spacing w:line="240" w:lineRule="atLeast"/>
        <w:jc w:val="both"/>
        <w:rPr>
          <w:sz w:val="22"/>
          <w:szCs w:val="22"/>
        </w:rPr>
      </w:pPr>
      <w:r w:rsidRPr="00E82C3F">
        <w:rPr>
          <w:b/>
          <w:bCs/>
          <w:sz w:val="22"/>
          <w:szCs w:val="22"/>
        </w:rPr>
        <w:t>Our business is subject to applicable laws and regulations relating to foreign corrupt practices, the violation of which could adversely affect our operations.</w:t>
      </w:r>
    </w:p>
    <w:p w14:paraId="6BC7D713" w14:textId="77777777" w:rsidR="00E82C3F" w:rsidRPr="00E82C3F" w:rsidRDefault="00E82C3F" w:rsidP="00E82C3F">
      <w:pPr>
        <w:widowControl w:val="0"/>
        <w:autoSpaceDE w:val="0"/>
        <w:autoSpaceDN w:val="0"/>
        <w:adjustRightInd w:val="0"/>
        <w:spacing w:line="240" w:lineRule="atLeast"/>
        <w:jc w:val="both"/>
        <w:rPr>
          <w:sz w:val="22"/>
          <w:szCs w:val="22"/>
        </w:rPr>
      </w:pPr>
    </w:p>
    <w:p w14:paraId="6C92F0CE" w14:textId="77777777" w:rsidR="00E82C3F" w:rsidRPr="00E82C3F" w:rsidRDefault="00E82C3F" w:rsidP="00E82C3F">
      <w:pPr>
        <w:widowControl w:val="0"/>
        <w:autoSpaceDE w:val="0"/>
        <w:autoSpaceDN w:val="0"/>
        <w:adjustRightInd w:val="0"/>
        <w:ind w:firstLine="720"/>
        <w:jc w:val="both"/>
        <w:rPr>
          <w:sz w:val="22"/>
          <w:szCs w:val="22"/>
        </w:rPr>
      </w:pPr>
      <w:r w:rsidRPr="00E82C3F">
        <w:rPr>
          <w:sz w:val="22"/>
          <w:szCs w:val="22"/>
        </w:rPr>
        <w:t xml:space="preserve">We must comply with all applicable anti-bribery laws and regulations of the U.S. and other jurisdictions where we operate. For example, we are subject to the U.S. Foreign Corrupt Practices Act and the U.K. Bribery Act of 2010 </w:t>
      </w:r>
      <w:r w:rsidRPr="00E82C3F">
        <w:rPr>
          <w:sz w:val="22"/>
          <w:szCs w:val="22"/>
          <w:shd w:val="clear" w:color="auto" w:fill="FFFFFF"/>
        </w:rPr>
        <w:t>relating to corrupt and illegal payments to government officials and others</w:t>
      </w:r>
      <w:r w:rsidRPr="00E82C3F">
        <w:rPr>
          <w:sz w:val="22"/>
          <w:szCs w:val="22"/>
        </w:rPr>
        <w:t>. Although we have policies and controls in place that are designed to ensure compliance with these laws and regulations, it is possible that an employee or an agent acting on our behalf could fail to comply with applicable laws and regulations, and due to the complex nature of the risks, it may not always be possible for us to ascertain compliance with such laws and regulations. In such event, we could be exposed to civil penalties, criminal penalties and other sanctions, including fines or other unintended punitive actions, and we could incur substantial legal fees and related expenses. In addition, such violations could damage our business and/or our reputation. All of the foregoing could have a material adverse effect on our financial condition and operating results.</w:t>
      </w:r>
    </w:p>
    <w:p w14:paraId="5C2D073F"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b/>
          <w:bCs/>
          <w:spacing w:val="-2"/>
          <w:sz w:val="22"/>
          <w:szCs w:val="22"/>
        </w:rPr>
      </w:pPr>
    </w:p>
    <w:p w14:paraId="467BD1D4" w14:textId="77777777" w:rsidR="00E82C3F" w:rsidRPr="00E82C3F" w:rsidRDefault="00E82C3F" w:rsidP="00E82C3F">
      <w:pPr>
        <w:widowControl w:val="0"/>
        <w:autoSpaceDE w:val="0"/>
        <w:autoSpaceDN w:val="0"/>
        <w:adjustRightInd w:val="0"/>
        <w:jc w:val="both"/>
        <w:rPr>
          <w:b/>
          <w:sz w:val="22"/>
          <w:szCs w:val="22"/>
        </w:rPr>
      </w:pPr>
      <w:r w:rsidRPr="00E82C3F">
        <w:rPr>
          <w:b/>
          <w:sz w:val="22"/>
          <w:szCs w:val="22"/>
        </w:rPr>
        <w:t xml:space="preserve">Anti-outsourcing legislation, if adopted, could adversely affect our business, financial condition and results of operations and impair our ability to service our customers. </w:t>
      </w:r>
    </w:p>
    <w:p w14:paraId="172D98F8" w14:textId="00FF7E39" w:rsidR="00E82C3F" w:rsidRPr="00E82C3F" w:rsidRDefault="00E82C3F" w:rsidP="00E82C3F">
      <w:pPr>
        <w:spacing w:before="180"/>
        <w:ind w:firstLine="720"/>
        <w:jc w:val="both"/>
        <w:rPr>
          <w:sz w:val="22"/>
          <w:szCs w:val="22"/>
        </w:rPr>
      </w:pPr>
      <w:r w:rsidRPr="00E82C3F">
        <w:rPr>
          <w:sz w:val="22"/>
          <w:szCs w:val="22"/>
        </w:rPr>
        <w:t xml:space="preserve">The issue of outsourcing of services abroad by U.S. companies is a topic of political discussion in the U.S. While no substantive anti-outsourcing legislation has been </w:t>
      </w:r>
      <w:r w:rsidR="009C2386">
        <w:rPr>
          <w:sz w:val="22"/>
          <w:szCs w:val="22"/>
        </w:rPr>
        <w:t>adopted</w:t>
      </w:r>
      <w:r w:rsidR="009C2386" w:rsidRPr="00E82C3F">
        <w:rPr>
          <w:sz w:val="22"/>
          <w:szCs w:val="22"/>
        </w:rPr>
        <w:t xml:space="preserve"> </w:t>
      </w:r>
      <w:r w:rsidRPr="00E82C3F">
        <w:rPr>
          <w:sz w:val="22"/>
          <w:szCs w:val="22"/>
        </w:rPr>
        <w:t xml:space="preserve">to date, given the ongoing debate over this issue, the introduction of such legislation is possible. If introduced, our business, financial condition and results of operations could be adversely affected and our ability to service our customers could be impaired. </w:t>
      </w:r>
    </w:p>
    <w:p w14:paraId="4B522B99" w14:textId="77777777" w:rsidR="00E82C3F" w:rsidRPr="00E82C3F" w:rsidRDefault="00E82C3F" w:rsidP="00E82C3F">
      <w:pPr>
        <w:jc w:val="both"/>
        <w:rPr>
          <w:b/>
          <w:sz w:val="22"/>
          <w:szCs w:val="22"/>
        </w:rPr>
      </w:pPr>
    </w:p>
    <w:p w14:paraId="2A5F6DB1" w14:textId="77777777" w:rsidR="00E82C3F" w:rsidRPr="00E82C3F" w:rsidRDefault="00E82C3F" w:rsidP="00E82C3F">
      <w:pPr>
        <w:jc w:val="both"/>
        <w:rPr>
          <w:b/>
          <w:sz w:val="22"/>
          <w:szCs w:val="22"/>
        </w:rPr>
      </w:pPr>
      <w:r w:rsidRPr="00E82C3F">
        <w:rPr>
          <w:b/>
          <w:sz w:val="22"/>
          <w:szCs w:val="22"/>
        </w:rPr>
        <w:t>Our growth could be hindered by visa restrictions.</w:t>
      </w:r>
    </w:p>
    <w:p w14:paraId="29FFE25D" w14:textId="77777777" w:rsidR="00E82C3F" w:rsidRPr="00E82C3F" w:rsidRDefault="00E82C3F" w:rsidP="00E82C3F">
      <w:pPr>
        <w:spacing w:before="180"/>
        <w:ind w:firstLine="720"/>
        <w:jc w:val="both"/>
        <w:rPr>
          <w:sz w:val="22"/>
          <w:szCs w:val="22"/>
        </w:rPr>
      </w:pPr>
      <w:r w:rsidRPr="00E82C3F">
        <w:rPr>
          <w:sz w:val="22"/>
          <w:szCs w:val="22"/>
        </w:rPr>
        <w:t xml:space="preserve">Occasionally, we have employees from our other facilities visit or transfer to the U.S. to meet our customers or work on projects at a customer’s site. Any visa restrictions or new legislation putting a restriction on issuing visas could affect our business. </w:t>
      </w:r>
    </w:p>
    <w:p w14:paraId="589BD310" w14:textId="77777777" w:rsidR="00E82C3F" w:rsidRPr="00E82C3F" w:rsidRDefault="00E82C3F" w:rsidP="00E82C3F">
      <w:pPr>
        <w:spacing w:before="180"/>
        <w:ind w:firstLine="720"/>
        <w:jc w:val="both"/>
        <w:rPr>
          <w:sz w:val="22"/>
          <w:szCs w:val="22"/>
        </w:rPr>
      </w:pPr>
      <w:r w:rsidRPr="00E82C3F">
        <w:rPr>
          <w:sz w:val="22"/>
          <w:szCs w:val="22"/>
        </w:rPr>
        <w:t xml:space="preserve">Immigration and visa laws and regulations in the U.S. and other countries are subject to legislative and administrative changes, as well as changes in the application of standards. Immigration and visa laws and regulations can be significantly affected by political forces and levels of economic activity. Our business, results of operations and financial condition may be materially adversely affected if legislative or administrative changes to immigration or visa laws and regulations impair our ability to staff projects with our professionals who are not citizens of the country where the work is to be performed. </w:t>
      </w:r>
    </w:p>
    <w:p w14:paraId="6CFCFF60"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40DDFBAA" w14:textId="77777777" w:rsidR="00E82C3F" w:rsidRPr="00E82C3F" w:rsidRDefault="00E82C3F" w:rsidP="00E82C3F">
      <w:pPr>
        <w:jc w:val="both"/>
        <w:rPr>
          <w:b/>
          <w:bCs/>
          <w:sz w:val="22"/>
          <w:szCs w:val="22"/>
        </w:rPr>
      </w:pPr>
      <w:r w:rsidRPr="00E82C3F">
        <w:rPr>
          <w:b/>
          <w:bCs/>
          <w:sz w:val="22"/>
          <w:szCs w:val="22"/>
        </w:rPr>
        <w:lastRenderedPageBreak/>
        <w:t xml:space="preserve">New and changing corporate governance and public disclosure requirements add uncertainty to our compliance policies and increase our costs of compliance. </w:t>
      </w:r>
    </w:p>
    <w:p w14:paraId="1F0C70EB"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3B5497C6" w14:textId="29978985"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 xml:space="preserve">Changing laws, regulations and standards relating to accounting, corporate governance and public disclosure, including SEC regulations and the Nasdaq Stock Market rules, create uncertainty for companies like ours. These laws, regulations and standards may lack specificity and are subject to varying interpretations. Their application in practice may evolve over time, as new guidance is provided by regulatory and governing bodies. This could result in continuing uncertainty regarding compliance matters and higher costs of compliance as a result of revisions to such corporate governance standards. </w:t>
      </w:r>
    </w:p>
    <w:p w14:paraId="374F6DCF" w14:textId="77777777" w:rsidR="00E82C3F" w:rsidRPr="00E82C3F" w:rsidRDefault="00E82C3F" w:rsidP="00E82C3F">
      <w:pPr>
        <w:widowControl w:val="0"/>
        <w:tabs>
          <w:tab w:val="left" w:pos="-720"/>
        </w:tabs>
        <w:suppressAutoHyphens/>
        <w:autoSpaceDE w:val="0"/>
        <w:autoSpaceDN w:val="0"/>
        <w:adjustRightInd w:val="0"/>
        <w:spacing w:line="240" w:lineRule="atLeast"/>
        <w:jc w:val="both"/>
        <w:rPr>
          <w:spacing w:val="-2"/>
          <w:sz w:val="22"/>
          <w:szCs w:val="22"/>
        </w:rPr>
      </w:pPr>
    </w:p>
    <w:p w14:paraId="7D3460BB" w14:textId="77777777" w:rsidR="00E82C3F" w:rsidRPr="00E82C3F" w:rsidRDefault="00E82C3F" w:rsidP="00E82C3F">
      <w:pPr>
        <w:widowControl w:val="0"/>
        <w:tabs>
          <w:tab w:val="left" w:pos="-720"/>
        </w:tabs>
        <w:suppressAutoHyphens/>
        <w:autoSpaceDE w:val="0"/>
        <w:autoSpaceDN w:val="0"/>
        <w:adjustRightInd w:val="0"/>
        <w:spacing w:line="240" w:lineRule="atLeast"/>
        <w:ind w:firstLine="720"/>
        <w:jc w:val="both"/>
        <w:rPr>
          <w:spacing w:val="-2"/>
          <w:sz w:val="22"/>
          <w:szCs w:val="22"/>
        </w:rPr>
      </w:pPr>
      <w:r w:rsidRPr="00E82C3F">
        <w:rPr>
          <w:spacing w:val="-2"/>
          <w:sz w:val="22"/>
          <w:szCs w:val="22"/>
        </w:rPr>
        <w:t xml:space="preserve">Although we are committed to maintaining high standards of corporate governance and public disclosure, and complying with evolving laws, regulations and standards, if we fail to comply with new or changed laws, regulations or standards of corporate governance, our business and reputation may be harmed. </w:t>
      </w:r>
    </w:p>
    <w:p w14:paraId="5D6FF186" w14:textId="77777777" w:rsidR="00E82C3F" w:rsidRPr="00E82C3F" w:rsidRDefault="00E82C3F" w:rsidP="00E82C3F">
      <w:pPr>
        <w:widowControl w:val="0"/>
        <w:autoSpaceDE w:val="0"/>
        <w:autoSpaceDN w:val="0"/>
        <w:adjustRightInd w:val="0"/>
        <w:rPr>
          <w:sz w:val="22"/>
          <w:szCs w:val="22"/>
        </w:rPr>
      </w:pPr>
    </w:p>
    <w:bookmarkEnd w:id="5"/>
    <w:bookmarkEnd w:id="6"/>
    <w:p w14:paraId="2E5929FA" w14:textId="5533F2B5" w:rsidR="00A81DCD" w:rsidRPr="00501AD3" w:rsidRDefault="00A81DCD" w:rsidP="00A81DCD">
      <w:pPr>
        <w:tabs>
          <w:tab w:val="left" w:pos="-720"/>
        </w:tabs>
        <w:outlineLvl w:val="0"/>
        <w:rPr>
          <w:b/>
          <w:sz w:val="22"/>
          <w:szCs w:val="22"/>
        </w:rPr>
      </w:pPr>
      <w:r w:rsidRPr="00501AD3">
        <w:rPr>
          <w:b/>
          <w:sz w:val="22"/>
          <w:szCs w:val="22"/>
        </w:rPr>
        <w:t>Item 1B.  Unresolved Staff Comments.</w:t>
      </w:r>
    </w:p>
    <w:p w14:paraId="2DAC23C1" w14:textId="77777777" w:rsidR="00A81DCD" w:rsidRPr="00501AD3" w:rsidRDefault="00A81DCD" w:rsidP="00A81DCD">
      <w:pPr>
        <w:tabs>
          <w:tab w:val="left" w:pos="-720"/>
        </w:tabs>
        <w:outlineLvl w:val="0"/>
        <w:rPr>
          <w:b/>
          <w:sz w:val="22"/>
          <w:szCs w:val="22"/>
        </w:rPr>
      </w:pPr>
      <w:r w:rsidRPr="00501AD3">
        <w:rPr>
          <w:b/>
          <w:sz w:val="22"/>
          <w:szCs w:val="22"/>
        </w:rPr>
        <w:tab/>
      </w:r>
    </w:p>
    <w:p w14:paraId="3FE464FA" w14:textId="77777777" w:rsidR="00A81DCD" w:rsidRPr="00501AD3" w:rsidRDefault="00A81DCD" w:rsidP="00A81DCD">
      <w:pPr>
        <w:tabs>
          <w:tab w:val="left" w:pos="-720"/>
        </w:tabs>
        <w:ind w:firstLine="720"/>
        <w:outlineLvl w:val="0"/>
        <w:rPr>
          <w:sz w:val="22"/>
          <w:szCs w:val="22"/>
        </w:rPr>
      </w:pPr>
      <w:r w:rsidRPr="00501AD3">
        <w:rPr>
          <w:sz w:val="22"/>
          <w:szCs w:val="22"/>
        </w:rPr>
        <w:t>None.</w:t>
      </w:r>
    </w:p>
    <w:p w14:paraId="380297B3" w14:textId="77777777" w:rsidR="00A81DCD" w:rsidRPr="00501AD3" w:rsidRDefault="00A81DCD" w:rsidP="00A81DCD">
      <w:pPr>
        <w:tabs>
          <w:tab w:val="left" w:pos="-720"/>
        </w:tabs>
        <w:outlineLvl w:val="0"/>
        <w:rPr>
          <w:b/>
          <w:sz w:val="22"/>
          <w:szCs w:val="22"/>
        </w:rPr>
      </w:pPr>
    </w:p>
    <w:p w14:paraId="56826F70" w14:textId="77777777" w:rsidR="00A81DCD" w:rsidRPr="000634A4" w:rsidRDefault="00A81DCD" w:rsidP="00A81DCD">
      <w:pPr>
        <w:tabs>
          <w:tab w:val="left" w:pos="-720"/>
        </w:tabs>
        <w:outlineLvl w:val="0"/>
        <w:rPr>
          <w:b/>
          <w:sz w:val="22"/>
          <w:szCs w:val="22"/>
        </w:rPr>
      </w:pPr>
      <w:bookmarkStart w:id="10" w:name="_Hlk31573228"/>
      <w:r w:rsidRPr="00501AD3">
        <w:rPr>
          <w:b/>
          <w:sz w:val="22"/>
          <w:szCs w:val="22"/>
        </w:rPr>
        <w:t>Item 2</w:t>
      </w:r>
      <w:r w:rsidRPr="000634A4">
        <w:rPr>
          <w:b/>
          <w:sz w:val="22"/>
          <w:szCs w:val="22"/>
        </w:rPr>
        <w:t>.  Properties.</w:t>
      </w:r>
    </w:p>
    <w:p w14:paraId="64FA0B7B" w14:textId="77777777" w:rsidR="00A81DCD" w:rsidRPr="000634A4" w:rsidRDefault="00A81DCD" w:rsidP="00A81DCD">
      <w:pPr>
        <w:jc w:val="both"/>
        <w:rPr>
          <w:sz w:val="22"/>
          <w:szCs w:val="22"/>
        </w:rPr>
      </w:pPr>
    </w:p>
    <w:p w14:paraId="679747D2" w14:textId="51A45C57" w:rsidR="001539C1" w:rsidRPr="000634A4" w:rsidRDefault="00A81DCD" w:rsidP="001539C1">
      <w:pPr>
        <w:tabs>
          <w:tab w:val="left" w:pos="720"/>
        </w:tabs>
        <w:ind w:firstLine="720"/>
        <w:jc w:val="both"/>
        <w:rPr>
          <w:sz w:val="22"/>
          <w:szCs w:val="22"/>
        </w:rPr>
      </w:pPr>
      <w:r w:rsidRPr="000634A4">
        <w:rPr>
          <w:sz w:val="22"/>
          <w:szCs w:val="22"/>
        </w:rPr>
        <w:t>Our services are primarily performed from our Ridgefield</w:t>
      </w:r>
      <w:r w:rsidR="005B779C" w:rsidRPr="000634A4">
        <w:rPr>
          <w:sz w:val="22"/>
          <w:szCs w:val="22"/>
        </w:rPr>
        <w:t xml:space="preserve"> Park</w:t>
      </w:r>
      <w:r w:rsidRPr="000634A4">
        <w:rPr>
          <w:sz w:val="22"/>
          <w:szCs w:val="22"/>
        </w:rPr>
        <w:t>, New Jersey headquarters and overseas delivery centers in the Philippines, India, Sri Lanka,</w:t>
      </w:r>
      <w:r w:rsidR="00BC0ACE" w:rsidRPr="000634A4">
        <w:rPr>
          <w:sz w:val="22"/>
          <w:szCs w:val="22"/>
        </w:rPr>
        <w:t xml:space="preserve"> Canada, the United Kingdom</w:t>
      </w:r>
      <w:r w:rsidRPr="000634A4">
        <w:rPr>
          <w:sz w:val="22"/>
          <w:szCs w:val="22"/>
        </w:rPr>
        <w:t xml:space="preserve"> </w:t>
      </w:r>
      <w:r w:rsidR="007C240A" w:rsidRPr="000634A4">
        <w:rPr>
          <w:sz w:val="22"/>
          <w:szCs w:val="22"/>
        </w:rPr>
        <w:t xml:space="preserve">Israel and </w:t>
      </w:r>
      <w:r w:rsidRPr="000634A4">
        <w:rPr>
          <w:sz w:val="22"/>
          <w:szCs w:val="22"/>
        </w:rPr>
        <w:t xml:space="preserve">Germany all of which are leased. The square footage of all our leased properties totals approximately </w:t>
      </w:r>
      <w:r w:rsidR="005943D8" w:rsidRPr="000634A4">
        <w:rPr>
          <w:sz w:val="22"/>
          <w:szCs w:val="22"/>
        </w:rPr>
        <w:t>17</w:t>
      </w:r>
      <w:r w:rsidR="005943D8">
        <w:rPr>
          <w:sz w:val="22"/>
          <w:szCs w:val="22"/>
        </w:rPr>
        <w:t>9</w:t>
      </w:r>
      <w:r w:rsidR="00986270" w:rsidRPr="000634A4">
        <w:rPr>
          <w:sz w:val="22"/>
          <w:szCs w:val="22"/>
        </w:rPr>
        <w:t>,</w:t>
      </w:r>
      <w:r w:rsidR="005943D8">
        <w:rPr>
          <w:sz w:val="22"/>
          <w:szCs w:val="22"/>
        </w:rPr>
        <w:t>0</w:t>
      </w:r>
      <w:r w:rsidR="005943D8" w:rsidRPr="000634A4">
        <w:rPr>
          <w:sz w:val="22"/>
          <w:szCs w:val="22"/>
        </w:rPr>
        <w:t>00</w:t>
      </w:r>
      <w:r w:rsidR="00986270" w:rsidRPr="000634A4">
        <w:rPr>
          <w:sz w:val="22"/>
          <w:szCs w:val="22"/>
        </w:rPr>
        <w:t>.</w:t>
      </w:r>
      <w:r w:rsidRPr="000634A4">
        <w:rPr>
          <w:sz w:val="22"/>
          <w:szCs w:val="22"/>
        </w:rPr>
        <w:t xml:space="preserve"> </w:t>
      </w:r>
      <w:r w:rsidR="001539C1" w:rsidRPr="000634A4">
        <w:rPr>
          <w:sz w:val="22"/>
          <w:szCs w:val="22"/>
        </w:rPr>
        <w:t>Our leased properties in the Philippines, Sri Lanka, Germany and Israel are primarily used by our DDS segment</w:t>
      </w:r>
      <w:r w:rsidR="00BC0ACE" w:rsidRPr="000634A4">
        <w:rPr>
          <w:sz w:val="22"/>
          <w:szCs w:val="22"/>
        </w:rPr>
        <w:t xml:space="preserve">; </w:t>
      </w:r>
      <w:r w:rsidR="004A28DC" w:rsidRPr="000634A4">
        <w:rPr>
          <w:sz w:val="22"/>
          <w:szCs w:val="22"/>
        </w:rPr>
        <w:t xml:space="preserve"> and </w:t>
      </w:r>
      <w:r w:rsidR="001539C1" w:rsidRPr="000634A4">
        <w:rPr>
          <w:sz w:val="22"/>
          <w:szCs w:val="22"/>
        </w:rPr>
        <w:t>our leased property in India is primarily used by our DDS and Synodex segments</w:t>
      </w:r>
      <w:r w:rsidR="00BC0ACE" w:rsidRPr="000634A4">
        <w:rPr>
          <w:sz w:val="22"/>
          <w:szCs w:val="22"/>
        </w:rPr>
        <w:t xml:space="preserve"> and our leased property in Canada and the United Kingdom is primarily used by our Agility segment</w:t>
      </w:r>
      <w:r w:rsidR="004A28DC" w:rsidRPr="000634A4">
        <w:rPr>
          <w:sz w:val="22"/>
          <w:szCs w:val="22"/>
        </w:rPr>
        <w:t xml:space="preserve">. </w:t>
      </w:r>
      <w:r w:rsidR="001539C1" w:rsidRPr="000634A4">
        <w:rPr>
          <w:sz w:val="22"/>
          <w:szCs w:val="22"/>
        </w:rPr>
        <w:t>Our leased property in the United States is our corporate headquarters and is used by all segments.</w:t>
      </w:r>
    </w:p>
    <w:bookmarkEnd w:id="10"/>
    <w:p w14:paraId="31AB30D6" w14:textId="77777777" w:rsidR="00A81DCD" w:rsidRPr="000634A4" w:rsidRDefault="00A81DCD" w:rsidP="00A81DCD">
      <w:pPr>
        <w:tabs>
          <w:tab w:val="left" w:pos="720"/>
        </w:tabs>
        <w:jc w:val="both"/>
        <w:rPr>
          <w:sz w:val="22"/>
          <w:szCs w:val="22"/>
        </w:rPr>
      </w:pPr>
    </w:p>
    <w:p w14:paraId="0F7D4AA7" w14:textId="77777777" w:rsidR="00A81DCD" w:rsidRPr="000634A4" w:rsidRDefault="00A81DCD" w:rsidP="00A81DCD">
      <w:pPr>
        <w:tabs>
          <w:tab w:val="left" w:pos="720"/>
        </w:tabs>
        <w:ind w:firstLine="720"/>
        <w:jc w:val="both"/>
        <w:rPr>
          <w:sz w:val="22"/>
          <w:szCs w:val="22"/>
        </w:rPr>
      </w:pPr>
      <w:r w:rsidRPr="000634A4">
        <w:rPr>
          <w:sz w:val="22"/>
          <w:szCs w:val="22"/>
        </w:rPr>
        <w:t>In addition, we may need to lease additional property in the future. We believe that we will be able to obtain suitable additional facilities on commercially reasonable terms on an “as needed” basis.</w:t>
      </w:r>
    </w:p>
    <w:p w14:paraId="54A59207" w14:textId="77777777" w:rsidR="00A81DCD" w:rsidRPr="000634A4" w:rsidRDefault="00A81DCD" w:rsidP="00A81DCD">
      <w:pPr>
        <w:jc w:val="both"/>
        <w:rPr>
          <w:sz w:val="22"/>
          <w:szCs w:val="22"/>
        </w:rPr>
      </w:pPr>
    </w:p>
    <w:p w14:paraId="6EDFFA92" w14:textId="77777777" w:rsidR="00A81DCD" w:rsidRPr="000634A4" w:rsidRDefault="00A81DCD" w:rsidP="00A81DCD">
      <w:pPr>
        <w:keepNext/>
        <w:tabs>
          <w:tab w:val="left" w:pos="-720"/>
        </w:tabs>
        <w:outlineLvl w:val="0"/>
        <w:rPr>
          <w:b/>
          <w:sz w:val="22"/>
          <w:szCs w:val="22"/>
        </w:rPr>
      </w:pPr>
      <w:r w:rsidRPr="000634A4">
        <w:rPr>
          <w:b/>
          <w:sz w:val="22"/>
          <w:szCs w:val="22"/>
        </w:rPr>
        <w:t>Item 3.  Legal Proceedings.</w:t>
      </w:r>
    </w:p>
    <w:p w14:paraId="219C9FB0" w14:textId="180EED89" w:rsidR="00A81DCD" w:rsidRPr="000634A4" w:rsidRDefault="00A81DCD" w:rsidP="00A81DCD">
      <w:pPr>
        <w:keepNext/>
        <w:tabs>
          <w:tab w:val="left" w:pos="-720"/>
        </w:tabs>
        <w:outlineLvl w:val="0"/>
        <w:rPr>
          <w:sz w:val="22"/>
          <w:szCs w:val="22"/>
        </w:rPr>
      </w:pPr>
    </w:p>
    <w:p w14:paraId="1708B6D0" w14:textId="112907F3" w:rsidR="00C66DB8" w:rsidRPr="000634A4" w:rsidRDefault="00A81DCD" w:rsidP="00C66DB8">
      <w:pPr>
        <w:tabs>
          <w:tab w:val="left" w:pos="-720"/>
        </w:tabs>
        <w:suppressAutoHyphens/>
        <w:jc w:val="both"/>
        <w:rPr>
          <w:sz w:val="22"/>
          <w:szCs w:val="22"/>
        </w:rPr>
      </w:pPr>
      <w:r w:rsidRPr="000634A4">
        <w:rPr>
          <w:sz w:val="22"/>
          <w:szCs w:val="22"/>
        </w:rPr>
        <w:tab/>
      </w:r>
      <w:r w:rsidR="00C66DB8" w:rsidRPr="000634A4">
        <w:rPr>
          <w:sz w:val="22"/>
          <w:szCs w:val="22"/>
        </w:rPr>
        <w:t xml:space="preserve">Reference is made to Note </w:t>
      </w:r>
      <w:r w:rsidR="006126BE" w:rsidRPr="000634A4">
        <w:rPr>
          <w:sz w:val="22"/>
          <w:szCs w:val="22"/>
        </w:rPr>
        <w:t>6</w:t>
      </w:r>
      <w:r w:rsidR="00C66DB8" w:rsidRPr="000634A4">
        <w:rPr>
          <w:sz w:val="22"/>
          <w:szCs w:val="22"/>
        </w:rPr>
        <w:t xml:space="preserve">, “Commitments and Contingencies - Litigation,” to the consolidated financial statements in Item 8 of this Report, which is incorporated by reference herein. </w:t>
      </w:r>
    </w:p>
    <w:p w14:paraId="4FE3F0B1" w14:textId="77777777" w:rsidR="00A81DCD" w:rsidRPr="000634A4" w:rsidRDefault="00A81DCD" w:rsidP="00C66DB8">
      <w:pPr>
        <w:tabs>
          <w:tab w:val="left" w:pos="-720"/>
        </w:tabs>
        <w:suppressAutoHyphens/>
        <w:jc w:val="both"/>
        <w:rPr>
          <w:spacing w:val="-2"/>
          <w:sz w:val="22"/>
          <w:szCs w:val="22"/>
          <w:u w:val="single"/>
        </w:rPr>
      </w:pPr>
    </w:p>
    <w:p w14:paraId="76958712" w14:textId="7B430130" w:rsidR="00A81DCD" w:rsidRPr="000634A4" w:rsidRDefault="00A81DCD" w:rsidP="00A81DCD">
      <w:pPr>
        <w:tabs>
          <w:tab w:val="left" w:pos="-720"/>
        </w:tabs>
        <w:outlineLvl w:val="0"/>
        <w:rPr>
          <w:b/>
          <w:sz w:val="22"/>
          <w:szCs w:val="22"/>
        </w:rPr>
      </w:pPr>
      <w:r w:rsidRPr="000634A4">
        <w:rPr>
          <w:b/>
          <w:sz w:val="22"/>
          <w:szCs w:val="22"/>
        </w:rPr>
        <w:t>Item 4.  Mine Safety Disclosures.</w:t>
      </w:r>
    </w:p>
    <w:p w14:paraId="616BB666" w14:textId="77777777" w:rsidR="00A81DCD" w:rsidRPr="000634A4" w:rsidRDefault="00A81DCD" w:rsidP="00A81DCD">
      <w:pPr>
        <w:tabs>
          <w:tab w:val="left" w:pos="-720"/>
        </w:tabs>
        <w:outlineLvl w:val="0"/>
        <w:rPr>
          <w:b/>
          <w:sz w:val="22"/>
          <w:szCs w:val="22"/>
          <w:u w:val="single"/>
        </w:rPr>
      </w:pPr>
    </w:p>
    <w:p w14:paraId="1CA5038B" w14:textId="660E21A5" w:rsidR="009A2501" w:rsidRPr="000634A4" w:rsidRDefault="00A81DCD" w:rsidP="00A81DCD">
      <w:pPr>
        <w:tabs>
          <w:tab w:val="left" w:pos="-720"/>
        </w:tabs>
        <w:ind w:firstLine="720"/>
        <w:outlineLvl w:val="0"/>
        <w:rPr>
          <w:sz w:val="22"/>
          <w:szCs w:val="22"/>
        </w:rPr>
      </w:pPr>
      <w:r w:rsidRPr="000634A4">
        <w:rPr>
          <w:sz w:val="22"/>
          <w:szCs w:val="22"/>
        </w:rPr>
        <w:t>No</w:t>
      </w:r>
      <w:r w:rsidR="001539C1" w:rsidRPr="000634A4">
        <w:rPr>
          <w:sz w:val="22"/>
          <w:szCs w:val="22"/>
        </w:rPr>
        <w:t>t applicable</w:t>
      </w:r>
      <w:r w:rsidRPr="000634A4">
        <w:rPr>
          <w:sz w:val="22"/>
          <w:szCs w:val="22"/>
        </w:rPr>
        <w:t>.</w:t>
      </w:r>
    </w:p>
    <w:p w14:paraId="7342FEB9" w14:textId="75608124" w:rsidR="00A436EA" w:rsidRPr="000634A4" w:rsidRDefault="00A436EA" w:rsidP="009A2501">
      <w:pPr>
        <w:tabs>
          <w:tab w:val="left" w:pos="-720"/>
        </w:tabs>
        <w:ind w:firstLine="720"/>
        <w:outlineLvl w:val="0"/>
        <w:rPr>
          <w:b/>
          <w:sz w:val="22"/>
          <w:szCs w:val="22"/>
          <w:u w:val="single"/>
        </w:rPr>
      </w:pPr>
    </w:p>
    <w:p w14:paraId="6E5223A3" w14:textId="15093022" w:rsidR="00A81DCD" w:rsidRPr="000634A4" w:rsidRDefault="00A81DCD" w:rsidP="001A7894">
      <w:pPr>
        <w:tabs>
          <w:tab w:val="left" w:pos="-720"/>
        </w:tabs>
        <w:jc w:val="center"/>
        <w:outlineLvl w:val="0"/>
        <w:rPr>
          <w:b/>
          <w:sz w:val="22"/>
          <w:szCs w:val="22"/>
        </w:rPr>
      </w:pPr>
      <w:r w:rsidRPr="000634A4">
        <w:rPr>
          <w:b/>
          <w:sz w:val="22"/>
          <w:szCs w:val="22"/>
          <w:u w:val="single"/>
        </w:rPr>
        <w:t>PART II</w:t>
      </w:r>
    </w:p>
    <w:p w14:paraId="602E1654" w14:textId="77777777" w:rsidR="00A81DCD" w:rsidRPr="000634A4" w:rsidRDefault="00A81DCD" w:rsidP="00A81DCD">
      <w:pPr>
        <w:tabs>
          <w:tab w:val="left" w:pos="-720"/>
        </w:tabs>
        <w:jc w:val="both"/>
        <w:rPr>
          <w:b/>
          <w:sz w:val="22"/>
          <w:szCs w:val="22"/>
        </w:rPr>
      </w:pPr>
    </w:p>
    <w:p w14:paraId="32144050" w14:textId="77777777" w:rsidR="00A81DCD" w:rsidRPr="000634A4" w:rsidRDefault="00A81DCD" w:rsidP="00A81DCD">
      <w:pPr>
        <w:tabs>
          <w:tab w:val="left" w:pos="-720"/>
        </w:tabs>
        <w:jc w:val="both"/>
        <w:outlineLvl w:val="0"/>
        <w:rPr>
          <w:b/>
          <w:sz w:val="22"/>
          <w:szCs w:val="22"/>
        </w:rPr>
      </w:pPr>
      <w:r w:rsidRPr="000634A4">
        <w:rPr>
          <w:b/>
          <w:sz w:val="22"/>
          <w:szCs w:val="22"/>
        </w:rPr>
        <w:t>Item 5.  Market for Registrant’s Common Equity, Related Stockholder Matters and Issuer Purchases of Equity Securities.</w:t>
      </w:r>
    </w:p>
    <w:p w14:paraId="4DF40D76" w14:textId="77777777" w:rsidR="00A81DCD" w:rsidRPr="000634A4" w:rsidRDefault="00A81DCD" w:rsidP="00A81DCD">
      <w:pPr>
        <w:tabs>
          <w:tab w:val="left" w:pos="-720"/>
        </w:tabs>
        <w:jc w:val="both"/>
        <w:rPr>
          <w:sz w:val="22"/>
          <w:szCs w:val="22"/>
        </w:rPr>
      </w:pPr>
    </w:p>
    <w:p w14:paraId="05D70C07" w14:textId="6FC18D5D" w:rsidR="00D61EE0" w:rsidRPr="000634A4" w:rsidRDefault="00C66DB8" w:rsidP="00C66DB8">
      <w:pPr>
        <w:jc w:val="both"/>
        <w:rPr>
          <w:sz w:val="22"/>
          <w:szCs w:val="22"/>
        </w:rPr>
      </w:pPr>
      <w:r w:rsidRPr="000634A4">
        <w:rPr>
          <w:sz w:val="22"/>
          <w:szCs w:val="22"/>
        </w:rPr>
        <w:tab/>
      </w:r>
      <w:r w:rsidR="00D61EE0" w:rsidRPr="000634A4">
        <w:rPr>
          <w:color w:val="201F1E"/>
          <w:sz w:val="22"/>
          <w:szCs w:val="22"/>
          <w:shd w:val="clear" w:color="auto" w:fill="FFFFFF"/>
        </w:rPr>
        <w:t xml:space="preserve">Innodata Inc. (the “Company”) Common Stock is quoted on The Nasdaq Stock Market LLC under the symbol “INOD”. On </w:t>
      </w:r>
      <w:r w:rsidR="001860B3">
        <w:rPr>
          <w:color w:val="201F1E"/>
          <w:sz w:val="22"/>
          <w:szCs w:val="22"/>
          <w:shd w:val="clear" w:color="auto" w:fill="FFFFFF"/>
        </w:rPr>
        <w:t>February</w:t>
      </w:r>
      <w:r w:rsidR="001860B3" w:rsidRPr="000634A4">
        <w:rPr>
          <w:color w:val="201F1E"/>
          <w:sz w:val="22"/>
          <w:szCs w:val="22"/>
          <w:shd w:val="clear" w:color="auto" w:fill="FFFFFF"/>
        </w:rPr>
        <w:t xml:space="preserve"> </w:t>
      </w:r>
      <w:r w:rsidR="001860B3">
        <w:rPr>
          <w:color w:val="201F1E"/>
          <w:sz w:val="22"/>
          <w:szCs w:val="22"/>
          <w:shd w:val="clear" w:color="auto" w:fill="FFFFFF"/>
        </w:rPr>
        <w:t>21</w:t>
      </w:r>
      <w:r w:rsidR="00D61EE0" w:rsidRPr="000634A4">
        <w:rPr>
          <w:color w:val="201F1E"/>
          <w:sz w:val="22"/>
          <w:szCs w:val="22"/>
          <w:shd w:val="clear" w:color="auto" w:fill="FFFFFF"/>
        </w:rPr>
        <w:t>, 202</w:t>
      </w:r>
      <w:r w:rsidR="00EF7336" w:rsidRPr="000634A4">
        <w:rPr>
          <w:color w:val="201F1E"/>
          <w:sz w:val="22"/>
          <w:szCs w:val="22"/>
          <w:shd w:val="clear" w:color="auto" w:fill="FFFFFF"/>
        </w:rPr>
        <w:t>3</w:t>
      </w:r>
      <w:r w:rsidR="00D61EE0" w:rsidRPr="000634A4">
        <w:rPr>
          <w:color w:val="201F1E"/>
          <w:sz w:val="22"/>
          <w:szCs w:val="22"/>
          <w:shd w:val="clear" w:color="auto" w:fill="FFFFFF"/>
        </w:rPr>
        <w:t xml:space="preserve">, there were </w:t>
      </w:r>
      <w:r w:rsidR="00915F08" w:rsidRPr="000634A4">
        <w:rPr>
          <w:color w:val="201F1E"/>
          <w:sz w:val="22"/>
          <w:szCs w:val="22"/>
          <w:shd w:val="clear" w:color="auto" w:fill="FFFFFF"/>
        </w:rPr>
        <w:t xml:space="preserve">59 </w:t>
      </w:r>
      <w:r w:rsidR="00D61EE0" w:rsidRPr="000634A4">
        <w:rPr>
          <w:color w:val="201F1E"/>
          <w:sz w:val="22"/>
          <w:szCs w:val="22"/>
          <w:shd w:val="clear" w:color="auto" w:fill="FFFFFF"/>
        </w:rPr>
        <w:t>stockholders of record of the Company’s Common Stock based on information provided by the Company's transfer agent. The number of stockholders of record is based upon the actual number of holders registered at such date and does not include holders of shares in “street names” or persons, partnerships, associates, corporations, or other entities identified in security position listings maintained by depositories. </w:t>
      </w:r>
      <w:r w:rsidR="00D61EE0" w:rsidRPr="000634A4">
        <w:rPr>
          <w:color w:val="201F1E"/>
          <w:spacing w:val="-2"/>
          <w:sz w:val="22"/>
          <w:szCs w:val="22"/>
          <w:bdr w:val="none" w:sz="0" w:space="0" w:color="auto" w:frame="1"/>
          <w:shd w:val="clear" w:color="auto" w:fill="FFFFFF"/>
        </w:rPr>
        <w:t>We did not have any </w:t>
      </w:r>
      <w:r w:rsidR="00D61EE0" w:rsidRPr="000634A4">
        <w:rPr>
          <w:color w:val="201F1E"/>
          <w:sz w:val="22"/>
          <w:szCs w:val="22"/>
          <w:shd w:val="clear" w:color="auto" w:fill="FFFFFF"/>
        </w:rPr>
        <w:t xml:space="preserve">sales of unregistered securities during the year ended December 31, </w:t>
      </w:r>
      <w:r w:rsidR="00A75A31" w:rsidRPr="000634A4">
        <w:rPr>
          <w:color w:val="201F1E"/>
          <w:sz w:val="22"/>
          <w:szCs w:val="22"/>
          <w:shd w:val="clear" w:color="auto" w:fill="FFFFFF"/>
        </w:rPr>
        <w:t>202</w:t>
      </w:r>
      <w:r w:rsidR="00D55D85" w:rsidRPr="000634A4">
        <w:rPr>
          <w:color w:val="201F1E"/>
          <w:sz w:val="22"/>
          <w:szCs w:val="22"/>
          <w:shd w:val="clear" w:color="auto" w:fill="FFFFFF"/>
        </w:rPr>
        <w:t>2</w:t>
      </w:r>
      <w:r w:rsidR="00D61EE0" w:rsidRPr="000634A4">
        <w:rPr>
          <w:color w:val="201F1E"/>
          <w:sz w:val="22"/>
          <w:szCs w:val="22"/>
          <w:shd w:val="clear" w:color="auto" w:fill="FFFFFF"/>
        </w:rPr>
        <w:t>. We </w:t>
      </w:r>
      <w:r w:rsidR="00D61EE0" w:rsidRPr="000634A4">
        <w:rPr>
          <w:color w:val="201F1E"/>
          <w:spacing w:val="-2"/>
          <w:sz w:val="22"/>
          <w:szCs w:val="22"/>
          <w:bdr w:val="none" w:sz="0" w:space="0" w:color="auto" w:frame="1"/>
          <w:shd w:val="clear" w:color="auto" w:fill="FFFFFF"/>
        </w:rPr>
        <w:t>do not anticipate paying any dividends in the foreseeable future.</w:t>
      </w:r>
    </w:p>
    <w:p w14:paraId="1213F506" w14:textId="77777777" w:rsidR="001539C1" w:rsidRPr="000634A4" w:rsidRDefault="001539C1" w:rsidP="00A81DCD">
      <w:pPr>
        <w:jc w:val="both"/>
        <w:rPr>
          <w:sz w:val="22"/>
          <w:szCs w:val="22"/>
        </w:rPr>
      </w:pPr>
      <w:bookmarkStart w:id="11" w:name="_Hlk31573692"/>
    </w:p>
    <w:p w14:paraId="22ABAC91" w14:textId="77777777" w:rsidR="001539C1" w:rsidRPr="000634A4" w:rsidRDefault="001539C1" w:rsidP="001539C1">
      <w:pPr>
        <w:tabs>
          <w:tab w:val="left" w:pos="720"/>
        </w:tabs>
        <w:jc w:val="both"/>
        <w:rPr>
          <w:b/>
          <w:sz w:val="22"/>
          <w:szCs w:val="22"/>
        </w:rPr>
      </w:pPr>
      <w:r w:rsidRPr="000634A4">
        <w:rPr>
          <w:b/>
          <w:sz w:val="22"/>
          <w:szCs w:val="22"/>
        </w:rPr>
        <w:lastRenderedPageBreak/>
        <w:t>Securities Authorized for Issuance Under Equity Compensation Plans</w:t>
      </w:r>
    </w:p>
    <w:p w14:paraId="2F07F1CC" w14:textId="77777777" w:rsidR="001539C1" w:rsidRPr="000634A4" w:rsidRDefault="001539C1" w:rsidP="001539C1">
      <w:pPr>
        <w:tabs>
          <w:tab w:val="left" w:pos="-720"/>
        </w:tabs>
        <w:jc w:val="both"/>
        <w:outlineLvl w:val="0"/>
        <w:rPr>
          <w:bCs/>
          <w:sz w:val="22"/>
          <w:szCs w:val="22"/>
        </w:rPr>
      </w:pPr>
    </w:p>
    <w:p w14:paraId="5ED3DEA6" w14:textId="67E94A1D" w:rsidR="001539C1" w:rsidRPr="000634A4" w:rsidRDefault="001539C1" w:rsidP="001539C1">
      <w:pPr>
        <w:tabs>
          <w:tab w:val="left" w:pos="-720"/>
        </w:tabs>
        <w:ind w:firstLine="720"/>
        <w:jc w:val="both"/>
        <w:rPr>
          <w:bCs/>
          <w:sz w:val="22"/>
          <w:szCs w:val="22"/>
        </w:rPr>
      </w:pPr>
      <w:r w:rsidRPr="000634A4">
        <w:rPr>
          <w:bCs/>
          <w:sz w:val="22"/>
          <w:szCs w:val="22"/>
        </w:rPr>
        <w:t xml:space="preserve">The following table sets forth the aggregate information for the Company's equity compensation plans in effect as of December 31, </w:t>
      </w:r>
      <w:r w:rsidR="00A75A31" w:rsidRPr="000634A4">
        <w:rPr>
          <w:bCs/>
          <w:sz w:val="22"/>
          <w:szCs w:val="22"/>
        </w:rPr>
        <w:t>2022</w:t>
      </w:r>
      <w:r w:rsidRPr="000634A4">
        <w:rPr>
          <w:bCs/>
          <w:sz w:val="22"/>
          <w:szCs w:val="22"/>
        </w:rPr>
        <w:t>:</w:t>
      </w:r>
    </w:p>
    <w:p w14:paraId="4534399C" w14:textId="53FBB39E" w:rsidR="008C0860" w:rsidRPr="000634A4" w:rsidRDefault="00024837" w:rsidP="001539C1">
      <w:pPr>
        <w:tabs>
          <w:tab w:val="left" w:pos="-720"/>
        </w:tabs>
        <w:jc w:val="both"/>
        <w:rPr>
          <w:bCs/>
          <w:sz w:val="22"/>
          <w:szCs w:val="22"/>
        </w:rPr>
      </w:pPr>
      <w:r w:rsidRPr="000634A4">
        <w:rPr>
          <w:bCs/>
          <w:sz w:val="22"/>
          <w:szCs w:val="22"/>
        </w:rPr>
        <w:t xml:space="preserve"> </w:t>
      </w:r>
      <w:r w:rsidR="0098726A" w:rsidRPr="000634A4">
        <w:rPr>
          <w:noProof/>
          <w:lang w:eastAsia="zh-CN"/>
        </w:rPr>
        <w:drawing>
          <wp:inline distT="0" distB="0" distL="0" distR="0" wp14:anchorId="28D4B30B" wp14:editId="0FAAFAA1">
            <wp:extent cx="5892800" cy="31182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6024" cy="3119964"/>
                    </a:xfrm>
                    <a:prstGeom prst="rect">
                      <a:avLst/>
                    </a:prstGeom>
                    <a:noFill/>
                    <a:ln>
                      <a:noFill/>
                    </a:ln>
                  </pic:spPr>
                </pic:pic>
              </a:graphicData>
            </a:graphic>
          </wp:inline>
        </w:drawing>
      </w:r>
    </w:p>
    <w:p w14:paraId="02E9A97B" w14:textId="77777777" w:rsidR="006E5C45" w:rsidRPr="000634A4" w:rsidRDefault="006E5C45" w:rsidP="001539C1">
      <w:pPr>
        <w:tabs>
          <w:tab w:val="left" w:pos="-720"/>
        </w:tabs>
        <w:jc w:val="both"/>
        <w:rPr>
          <w:bCs/>
          <w:sz w:val="22"/>
          <w:szCs w:val="22"/>
        </w:rPr>
      </w:pPr>
    </w:p>
    <w:p w14:paraId="7BAC4BE5" w14:textId="2909BA07" w:rsidR="001539C1" w:rsidRPr="000634A4" w:rsidRDefault="001539C1" w:rsidP="0067322C">
      <w:pPr>
        <w:tabs>
          <w:tab w:val="left" w:pos="-720"/>
        </w:tabs>
        <w:suppressAutoHyphens/>
        <w:spacing w:line="240" w:lineRule="atLeast"/>
        <w:ind w:left="720"/>
        <w:jc w:val="both"/>
        <w:rPr>
          <w:sz w:val="22"/>
          <w:szCs w:val="22"/>
        </w:rPr>
      </w:pPr>
      <w:r w:rsidRPr="000634A4">
        <w:rPr>
          <w:bCs/>
          <w:spacing w:val="-2"/>
          <w:sz w:val="22"/>
          <w:szCs w:val="22"/>
          <w:vertAlign w:val="superscript"/>
        </w:rPr>
        <w:t>(1)</w:t>
      </w:r>
      <w:r w:rsidRPr="000634A4">
        <w:rPr>
          <w:sz w:val="22"/>
          <w:szCs w:val="22"/>
        </w:rPr>
        <w:t xml:space="preserve"> 2013 </w:t>
      </w:r>
      <w:r w:rsidR="00C66DB8" w:rsidRPr="000634A4">
        <w:rPr>
          <w:sz w:val="22"/>
          <w:szCs w:val="22"/>
        </w:rPr>
        <w:t xml:space="preserve">Stock Plan, approved by the stockholders, see Note </w:t>
      </w:r>
      <w:r w:rsidR="006126BE" w:rsidRPr="000634A4">
        <w:rPr>
          <w:sz w:val="22"/>
          <w:szCs w:val="22"/>
        </w:rPr>
        <w:t>10</w:t>
      </w:r>
      <w:r w:rsidR="00C66DB8" w:rsidRPr="000634A4">
        <w:rPr>
          <w:sz w:val="22"/>
          <w:szCs w:val="22"/>
        </w:rPr>
        <w:t>, “Stock Options”</w:t>
      </w:r>
      <w:r w:rsidR="003729CB" w:rsidRPr="000634A4">
        <w:rPr>
          <w:sz w:val="22"/>
          <w:szCs w:val="22"/>
        </w:rPr>
        <w:t>,</w:t>
      </w:r>
      <w:r w:rsidR="00C66DB8" w:rsidRPr="000634A4">
        <w:rPr>
          <w:sz w:val="22"/>
          <w:szCs w:val="22"/>
        </w:rPr>
        <w:t xml:space="preserve"> to the consolidated financial statements.</w:t>
      </w:r>
    </w:p>
    <w:p w14:paraId="11186D97" w14:textId="77777777" w:rsidR="003729CB" w:rsidRPr="000634A4" w:rsidRDefault="003729CB" w:rsidP="001539C1">
      <w:pPr>
        <w:tabs>
          <w:tab w:val="left" w:pos="-720"/>
        </w:tabs>
        <w:suppressAutoHyphens/>
        <w:spacing w:line="240" w:lineRule="atLeast"/>
        <w:ind w:left="720"/>
        <w:jc w:val="both"/>
        <w:rPr>
          <w:sz w:val="22"/>
          <w:szCs w:val="22"/>
        </w:rPr>
      </w:pPr>
    </w:p>
    <w:p w14:paraId="7BBCB2C2" w14:textId="27366728" w:rsidR="008D6D51" w:rsidRPr="000634A4" w:rsidRDefault="003729CB" w:rsidP="001539C1">
      <w:pPr>
        <w:tabs>
          <w:tab w:val="left" w:pos="-720"/>
        </w:tabs>
        <w:suppressAutoHyphens/>
        <w:spacing w:line="240" w:lineRule="atLeast"/>
        <w:ind w:left="720"/>
        <w:jc w:val="both"/>
        <w:rPr>
          <w:sz w:val="22"/>
          <w:szCs w:val="22"/>
        </w:rPr>
      </w:pPr>
      <w:r w:rsidRPr="000634A4">
        <w:rPr>
          <w:sz w:val="22"/>
          <w:szCs w:val="22"/>
          <w:vertAlign w:val="superscript"/>
        </w:rPr>
        <w:t xml:space="preserve">(2) </w:t>
      </w:r>
      <w:r w:rsidRPr="000634A4">
        <w:rPr>
          <w:sz w:val="22"/>
          <w:szCs w:val="22"/>
        </w:rPr>
        <w:t>2021 Equity Compensation Plan, approved by stockholders, see Note 10, “Stock Options”, to the consolidated financial statements.</w:t>
      </w:r>
    </w:p>
    <w:p w14:paraId="4F815D0C" w14:textId="77777777" w:rsidR="00DD77C7" w:rsidRPr="000634A4" w:rsidRDefault="00DD77C7" w:rsidP="001539C1">
      <w:pPr>
        <w:tabs>
          <w:tab w:val="left" w:pos="-720"/>
        </w:tabs>
        <w:suppressAutoHyphens/>
        <w:spacing w:line="240" w:lineRule="atLeast"/>
        <w:ind w:left="720"/>
        <w:jc w:val="both"/>
        <w:rPr>
          <w:sz w:val="22"/>
          <w:szCs w:val="22"/>
        </w:rPr>
      </w:pPr>
    </w:p>
    <w:p w14:paraId="6B22D8B6" w14:textId="586DBABC" w:rsidR="00DD77C7" w:rsidRPr="000634A4" w:rsidRDefault="000406BF" w:rsidP="000406BF">
      <w:pPr>
        <w:tabs>
          <w:tab w:val="left" w:pos="-720"/>
        </w:tabs>
        <w:suppressAutoHyphens/>
        <w:spacing w:line="240" w:lineRule="atLeast"/>
        <w:ind w:left="720"/>
        <w:jc w:val="both"/>
        <w:rPr>
          <w:sz w:val="22"/>
          <w:szCs w:val="22"/>
        </w:rPr>
      </w:pPr>
      <w:r w:rsidRPr="000634A4">
        <w:rPr>
          <w:sz w:val="22"/>
          <w:szCs w:val="22"/>
          <w:vertAlign w:val="superscript"/>
        </w:rPr>
        <w:t xml:space="preserve">(3) </w:t>
      </w:r>
      <w:r w:rsidRPr="000634A4">
        <w:rPr>
          <w:sz w:val="22"/>
          <w:szCs w:val="22"/>
        </w:rPr>
        <w:t>Restricted stock units were excluded when determining the weighted-average exercise price of outstanding options, warrants and rights.</w:t>
      </w:r>
    </w:p>
    <w:p w14:paraId="1BE88575" w14:textId="6A0582FA" w:rsidR="001539C1" w:rsidRPr="000634A4" w:rsidRDefault="00CA00B2" w:rsidP="00E62215">
      <w:pPr>
        <w:tabs>
          <w:tab w:val="left" w:pos="-720"/>
          <w:tab w:val="left" w:pos="1620"/>
        </w:tabs>
        <w:jc w:val="both"/>
        <w:outlineLvl w:val="0"/>
        <w:rPr>
          <w:b/>
          <w:sz w:val="22"/>
          <w:szCs w:val="22"/>
        </w:rPr>
      </w:pPr>
      <w:r w:rsidRPr="000634A4">
        <w:rPr>
          <w:b/>
          <w:sz w:val="22"/>
          <w:szCs w:val="22"/>
        </w:rPr>
        <w:tab/>
      </w:r>
    </w:p>
    <w:p w14:paraId="42549752" w14:textId="7896ED7B" w:rsidR="00A81DCD" w:rsidRPr="000634A4" w:rsidRDefault="00A81DCD" w:rsidP="0014314E">
      <w:pPr>
        <w:jc w:val="both"/>
        <w:rPr>
          <w:b/>
          <w:sz w:val="22"/>
          <w:szCs w:val="22"/>
        </w:rPr>
      </w:pPr>
      <w:bookmarkStart w:id="12" w:name="_Hlk95222793"/>
      <w:bookmarkEnd w:id="11"/>
      <w:r w:rsidRPr="000634A4">
        <w:rPr>
          <w:b/>
          <w:sz w:val="22"/>
          <w:szCs w:val="22"/>
        </w:rPr>
        <w:t xml:space="preserve">Purchase </w:t>
      </w:r>
      <w:r w:rsidR="000A0D63" w:rsidRPr="000634A4">
        <w:rPr>
          <w:b/>
          <w:sz w:val="22"/>
          <w:szCs w:val="22"/>
        </w:rPr>
        <w:t xml:space="preserve">or Unregistered Sales </w:t>
      </w:r>
      <w:r w:rsidRPr="000634A4">
        <w:rPr>
          <w:b/>
          <w:sz w:val="22"/>
          <w:szCs w:val="22"/>
        </w:rPr>
        <w:t>of Equity Securities</w:t>
      </w:r>
    </w:p>
    <w:bookmarkEnd w:id="12"/>
    <w:p w14:paraId="423DF902" w14:textId="229D8352" w:rsidR="00A81DCD" w:rsidRPr="000634A4" w:rsidRDefault="00A81DCD" w:rsidP="00A81DCD">
      <w:pPr>
        <w:rPr>
          <w:sz w:val="22"/>
          <w:szCs w:val="22"/>
        </w:rPr>
      </w:pPr>
    </w:p>
    <w:p w14:paraId="25A76D70" w14:textId="262F9550" w:rsidR="00564834" w:rsidRPr="000634A4" w:rsidRDefault="00564834" w:rsidP="00564834">
      <w:pPr>
        <w:ind w:firstLine="720"/>
        <w:jc w:val="both"/>
        <w:rPr>
          <w:sz w:val="22"/>
          <w:szCs w:val="22"/>
        </w:rPr>
      </w:pPr>
      <w:r w:rsidRPr="000634A4">
        <w:rPr>
          <w:bCs/>
          <w:spacing w:val="-2"/>
          <w:sz w:val="22"/>
          <w:szCs w:val="22"/>
        </w:rPr>
        <w:t xml:space="preserve">We did not repurchase any shares of our common stock during </w:t>
      </w:r>
      <w:r w:rsidR="00915F08" w:rsidRPr="000634A4">
        <w:rPr>
          <w:bCs/>
          <w:spacing w:val="-2"/>
          <w:sz w:val="22"/>
          <w:szCs w:val="22"/>
        </w:rPr>
        <w:t xml:space="preserve">the year ended December 31, </w:t>
      </w:r>
      <w:r w:rsidRPr="000634A4">
        <w:rPr>
          <w:bCs/>
          <w:spacing w:val="-2"/>
          <w:sz w:val="22"/>
          <w:szCs w:val="22"/>
        </w:rPr>
        <w:t>202</w:t>
      </w:r>
      <w:r w:rsidR="00C77675" w:rsidRPr="000634A4">
        <w:rPr>
          <w:bCs/>
          <w:spacing w:val="-2"/>
          <w:sz w:val="22"/>
          <w:szCs w:val="22"/>
        </w:rPr>
        <w:t>2</w:t>
      </w:r>
      <w:r w:rsidRPr="000634A4">
        <w:rPr>
          <w:bCs/>
          <w:spacing w:val="-2"/>
          <w:sz w:val="22"/>
          <w:szCs w:val="22"/>
        </w:rPr>
        <w:t xml:space="preserve">. </w:t>
      </w:r>
    </w:p>
    <w:p w14:paraId="231E2581" w14:textId="77777777" w:rsidR="00564834" w:rsidRPr="000634A4" w:rsidRDefault="00564834" w:rsidP="00564834">
      <w:pPr>
        <w:ind w:firstLine="720"/>
        <w:jc w:val="both"/>
        <w:rPr>
          <w:sz w:val="22"/>
          <w:szCs w:val="22"/>
        </w:rPr>
      </w:pPr>
    </w:p>
    <w:p w14:paraId="569178BD" w14:textId="1675CAED" w:rsidR="00564834" w:rsidRPr="000634A4" w:rsidRDefault="00564834" w:rsidP="00564834">
      <w:pPr>
        <w:tabs>
          <w:tab w:val="left" w:pos="-720"/>
        </w:tabs>
        <w:suppressAutoHyphens/>
        <w:spacing w:line="240" w:lineRule="atLeast"/>
        <w:ind w:firstLine="720"/>
        <w:jc w:val="both"/>
        <w:rPr>
          <w:bCs/>
          <w:spacing w:val="-2"/>
          <w:sz w:val="22"/>
          <w:szCs w:val="22"/>
        </w:rPr>
      </w:pPr>
      <w:r w:rsidRPr="000634A4">
        <w:rPr>
          <w:bCs/>
          <w:spacing w:val="-2"/>
          <w:sz w:val="22"/>
          <w:szCs w:val="22"/>
        </w:rPr>
        <w:t xml:space="preserve">We did not have any sales of unregistered equity securities during the </w:t>
      </w:r>
      <w:r w:rsidR="006B5C22" w:rsidRPr="000634A4">
        <w:rPr>
          <w:bCs/>
          <w:spacing w:val="-2"/>
          <w:sz w:val="22"/>
          <w:szCs w:val="22"/>
        </w:rPr>
        <w:t>year</w:t>
      </w:r>
      <w:r w:rsidRPr="000634A4">
        <w:rPr>
          <w:bCs/>
          <w:spacing w:val="-2"/>
          <w:sz w:val="22"/>
          <w:szCs w:val="22"/>
        </w:rPr>
        <w:t xml:space="preserve"> ended December 31, 202</w:t>
      </w:r>
      <w:r w:rsidR="00C77675" w:rsidRPr="000634A4">
        <w:rPr>
          <w:bCs/>
          <w:spacing w:val="-2"/>
          <w:sz w:val="22"/>
          <w:szCs w:val="22"/>
        </w:rPr>
        <w:t>2</w:t>
      </w:r>
      <w:r w:rsidRPr="000634A4">
        <w:rPr>
          <w:bCs/>
          <w:spacing w:val="-2"/>
          <w:sz w:val="22"/>
          <w:szCs w:val="22"/>
        </w:rPr>
        <w:t xml:space="preserve">. </w:t>
      </w:r>
    </w:p>
    <w:p w14:paraId="779AD446" w14:textId="77777777" w:rsidR="00A81DCD" w:rsidRPr="000634A4" w:rsidRDefault="00A81DCD" w:rsidP="00A81DCD">
      <w:pPr>
        <w:tabs>
          <w:tab w:val="left" w:pos="-720"/>
        </w:tabs>
        <w:suppressAutoHyphens/>
        <w:spacing w:line="240" w:lineRule="atLeast"/>
        <w:jc w:val="both"/>
        <w:rPr>
          <w:bCs/>
          <w:spacing w:val="-2"/>
          <w:sz w:val="22"/>
          <w:szCs w:val="22"/>
        </w:rPr>
      </w:pPr>
    </w:p>
    <w:p w14:paraId="57F05137" w14:textId="4AD2DBCC" w:rsidR="00576175" w:rsidRPr="000634A4" w:rsidRDefault="00576175" w:rsidP="00A81DCD">
      <w:pPr>
        <w:tabs>
          <w:tab w:val="center" w:pos="5400"/>
        </w:tabs>
        <w:suppressAutoHyphens/>
        <w:spacing w:line="240" w:lineRule="atLeast"/>
        <w:rPr>
          <w:b/>
          <w:spacing w:val="-2"/>
          <w:sz w:val="22"/>
          <w:szCs w:val="22"/>
        </w:rPr>
      </w:pPr>
      <w:bookmarkStart w:id="13" w:name="_Hlk95222888"/>
      <w:r w:rsidRPr="000634A4">
        <w:rPr>
          <w:b/>
          <w:spacing w:val="-2"/>
          <w:sz w:val="22"/>
          <w:szCs w:val="22"/>
        </w:rPr>
        <w:t>Item 6. [Reserved]</w:t>
      </w:r>
    </w:p>
    <w:bookmarkEnd w:id="13"/>
    <w:p w14:paraId="78ED4745" w14:textId="77777777" w:rsidR="00576175" w:rsidRPr="000634A4" w:rsidRDefault="00576175" w:rsidP="00A81DCD">
      <w:pPr>
        <w:tabs>
          <w:tab w:val="center" w:pos="5400"/>
        </w:tabs>
        <w:suppressAutoHyphens/>
        <w:spacing w:line="240" w:lineRule="atLeast"/>
        <w:rPr>
          <w:b/>
          <w:spacing w:val="-2"/>
          <w:sz w:val="22"/>
          <w:szCs w:val="22"/>
        </w:rPr>
      </w:pPr>
    </w:p>
    <w:p w14:paraId="0DABB109" w14:textId="7DDB0F8B" w:rsidR="00A81DCD" w:rsidRPr="000634A4" w:rsidRDefault="00A81DCD" w:rsidP="00A81DCD">
      <w:pPr>
        <w:tabs>
          <w:tab w:val="center" w:pos="5400"/>
        </w:tabs>
        <w:suppressAutoHyphens/>
        <w:spacing w:line="240" w:lineRule="atLeast"/>
        <w:rPr>
          <w:b/>
          <w:bCs/>
          <w:spacing w:val="-2"/>
          <w:sz w:val="22"/>
          <w:szCs w:val="22"/>
        </w:rPr>
      </w:pPr>
      <w:bookmarkStart w:id="14" w:name="_Hlk95223041"/>
      <w:r w:rsidRPr="000634A4">
        <w:rPr>
          <w:b/>
          <w:spacing w:val="-2"/>
          <w:sz w:val="22"/>
          <w:szCs w:val="22"/>
        </w:rPr>
        <w:t xml:space="preserve">Item 7.  </w:t>
      </w:r>
      <w:r w:rsidRPr="000634A4">
        <w:rPr>
          <w:b/>
          <w:bCs/>
          <w:spacing w:val="-2"/>
          <w:sz w:val="22"/>
          <w:szCs w:val="22"/>
        </w:rPr>
        <w:t>Management's Discussion and Analysis of Financial Condition and Results of Operations.</w:t>
      </w:r>
    </w:p>
    <w:p w14:paraId="0EB35C5F" w14:textId="77777777" w:rsidR="00A81DCD" w:rsidRPr="000634A4" w:rsidRDefault="00A81DCD" w:rsidP="00A81DCD">
      <w:pPr>
        <w:tabs>
          <w:tab w:val="left" w:pos="-720"/>
        </w:tabs>
        <w:suppressAutoHyphens/>
        <w:spacing w:line="240" w:lineRule="atLeast"/>
        <w:jc w:val="both"/>
        <w:rPr>
          <w:spacing w:val="-2"/>
          <w:sz w:val="22"/>
          <w:szCs w:val="22"/>
        </w:rPr>
      </w:pPr>
    </w:p>
    <w:p w14:paraId="6473048A" w14:textId="0A32791F" w:rsidR="00C66DB8" w:rsidRPr="000634A4" w:rsidRDefault="00C66DB8" w:rsidP="007F7D09">
      <w:pPr>
        <w:tabs>
          <w:tab w:val="left" w:pos="-720"/>
        </w:tabs>
        <w:suppressAutoHyphens/>
        <w:spacing w:line="240" w:lineRule="atLeast"/>
        <w:ind w:firstLine="720"/>
        <w:jc w:val="both"/>
        <w:rPr>
          <w:i/>
          <w:iCs/>
          <w:spacing w:val="-2"/>
          <w:sz w:val="22"/>
          <w:szCs w:val="22"/>
        </w:rPr>
      </w:pPr>
      <w:r w:rsidRPr="000634A4">
        <w:rPr>
          <w:iCs/>
          <w:spacing w:val="-2"/>
          <w:sz w:val="22"/>
          <w:szCs w:val="22"/>
        </w:rPr>
        <w:t xml:space="preserve">The following discussion should be read in conjunction with our consolidated financial statements and the related notes thereto included elsewhere in this </w:t>
      </w:r>
      <w:r w:rsidR="00576175" w:rsidRPr="000634A4">
        <w:rPr>
          <w:iCs/>
          <w:spacing w:val="-2"/>
          <w:sz w:val="22"/>
          <w:szCs w:val="22"/>
        </w:rPr>
        <w:t>Report</w:t>
      </w:r>
      <w:r w:rsidRPr="000634A4">
        <w:rPr>
          <w:iCs/>
          <w:spacing w:val="-2"/>
          <w:sz w:val="22"/>
          <w:szCs w:val="22"/>
        </w:rPr>
        <w:t>. In addition to historical information, this discussion includes forward-looking information that involves risks and assumptions based upon management’s current expectations.</w:t>
      </w:r>
      <w:r w:rsidRPr="000634A4">
        <w:rPr>
          <w:i/>
          <w:snapToGrid w:val="0"/>
          <w:sz w:val="22"/>
          <w:szCs w:val="22"/>
        </w:rPr>
        <w:t xml:space="preserve"> </w:t>
      </w:r>
      <w:r w:rsidRPr="000634A4">
        <w:rPr>
          <w:snapToGrid w:val="0"/>
          <w:sz w:val="22"/>
          <w:szCs w:val="22"/>
        </w:rPr>
        <w:t>Our actual results could differ materially from the results referred to in any forward-looking statements.</w:t>
      </w:r>
      <w:r w:rsidRPr="000634A4">
        <w:rPr>
          <w:iCs/>
          <w:spacing w:val="-2"/>
          <w:sz w:val="22"/>
          <w:szCs w:val="22"/>
        </w:rPr>
        <w:t xml:space="preserve"> See “Cautionary Note Regarding Forward-Looking Statements” included elsewhere in this </w:t>
      </w:r>
      <w:r w:rsidR="00576175" w:rsidRPr="000634A4">
        <w:rPr>
          <w:iCs/>
          <w:spacing w:val="-2"/>
          <w:sz w:val="22"/>
          <w:szCs w:val="22"/>
        </w:rPr>
        <w:t>Report</w:t>
      </w:r>
      <w:r w:rsidRPr="000634A4">
        <w:rPr>
          <w:iCs/>
          <w:spacing w:val="-2"/>
          <w:sz w:val="22"/>
          <w:szCs w:val="22"/>
        </w:rPr>
        <w:t xml:space="preserve">. </w:t>
      </w:r>
    </w:p>
    <w:bookmarkEnd w:id="14"/>
    <w:p w14:paraId="0E098104" w14:textId="77777777" w:rsidR="00A81DCD" w:rsidRPr="000634A4" w:rsidRDefault="00A81DCD" w:rsidP="00A81DCD">
      <w:pPr>
        <w:tabs>
          <w:tab w:val="left" w:pos="-720"/>
        </w:tabs>
        <w:suppressAutoHyphens/>
        <w:spacing w:line="240" w:lineRule="atLeast"/>
        <w:jc w:val="both"/>
        <w:rPr>
          <w:i/>
          <w:iCs/>
          <w:spacing w:val="-2"/>
          <w:sz w:val="22"/>
          <w:szCs w:val="22"/>
        </w:rPr>
      </w:pPr>
    </w:p>
    <w:p w14:paraId="20FD1F62" w14:textId="77777777" w:rsidR="00A81DCD" w:rsidRPr="000634A4" w:rsidRDefault="00A81DCD" w:rsidP="00A81DCD">
      <w:pPr>
        <w:tabs>
          <w:tab w:val="left" w:pos="-720"/>
        </w:tabs>
        <w:suppressAutoHyphens/>
        <w:spacing w:line="240" w:lineRule="atLeast"/>
        <w:jc w:val="both"/>
        <w:rPr>
          <w:b/>
          <w:iCs/>
          <w:spacing w:val="-2"/>
          <w:sz w:val="22"/>
          <w:szCs w:val="22"/>
        </w:rPr>
      </w:pPr>
      <w:bookmarkStart w:id="15" w:name="FIS_RESULTS_OF_OPERATIONS"/>
      <w:bookmarkEnd w:id="15"/>
      <w:r w:rsidRPr="000634A4">
        <w:rPr>
          <w:b/>
          <w:iCs/>
          <w:spacing w:val="-2"/>
          <w:sz w:val="22"/>
          <w:szCs w:val="22"/>
        </w:rPr>
        <w:t>Executive Overview</w:t>
      </w:r>
    </w:p>
    <w:p w14:paraId="29A9C88C" w14:textId="77777777" w:rsidR="00A81DCD" w:rsidRPr="000634A4" w:rsidRDefault="00A81DCD" w:rsidP="00A81DCD">
      <w:pPr>
        <w:tabs>
          <w:tab w:val="left" w:pos="-720"/>
        </w:tabs>
        <w:suppressAutoHyphens/>
        <w:spacing w:line="240" w:lineRule="atLeast"/>
        <w:jc w:val="both"/>
        <w:rPr>
          <w:iCs/>
          <w:spacing w:val="-2"/>
          <w:sz w:val="22"/>
          <w:szCs w:val="22"/>
        </w:rPr>
      </w:pPr>
    </w:p>
    <w:p w14:paraId="717F6372" w14:textId="77777777" w:rsidR="00A81DCD" w:rsidRPr="000634A4" w:rsidRDefault="00A81DCD" w:rsidP="00A81DCD">
      <w:pPr>
        <w:tabs>
          <w:tab w:val="left" w:pos="-720"/>
        </w:tabs>
        <w:suppressAutoHyphens/>
        <w:spacing w:line="240" w:lineRule="atLeast"/>
        <w:ind w:firstLine="720"/>
        <w:jc w:val="both"/>
        <w:rPr>
          <w:iCs/>
          <w:spacing w:val="-2"/>
          <w:sz w:val="22"/>
          <w:szCs w:val="22"/>
        </w:rPr>
      </w:pPr>
      <w:r w:rsidRPr="000634A4">
        <w:rPr>
          <w:spacing w:val="-2"/>
          <w:sz w:val="22"/>
          <w:szCs w:val="22"/>
        </w:rPr>
        <w:t>We are a global d</w:t>
      </w:r>
      <w:r w:rsidR="00BE7630" w:rsidRPr="000634A4">
        <w:rPr>
          <w:spacing w:val="-2"/>
          <w:sz w:val="22"/>
          <w:szCs w:val="22"/>
        </w:rPr>
        <w:t>ata engineering company</w:t>
      </w:r>
      <w:r w:rsidRPr="000634A4">
        <w:rPr>
          <w:spacing w:val="-2"/>
          <w:sz w:val="22"/>
          <w:szCs w:val="22"/>
        </w:rPr>
        <w:t xml:space="preserve">. We operate in three reporting segments: Digital Data Solutions (DDS), Synodex and </w:t>
      </w:r>
      <w:r w:rsidRPr="000634A4">
        <w:rPr>
          <w:sz w:val="22"/>
          <w:szCs w:val="22"/>
        </w:rPr>
        <w:t>Agility</w:t>
      </w:r>
      <w:r w:rsidRPr="000634A4">
        <w:rPr>
          <w:spacing w:val="-2"/>
          <w:sz w:val="22"/>
          <w:szCs w:val="22"/>
        </w:rPr>
        <w:t xml:space="preserve">. </w:t>
      </w:r>
    </w:p>
    <w:p w14:paraId="3F16FC48" w14:textId="77777777" w:rsidR="00A81DCD" w:rsidRPr="000634A4" w:rsidRDefault="00A81DCD" w:rsidP="00A81DCD">
      <w:pPr>
        <w:tabs>
          <w:tab w:val="left" w:pos="-720"/>
        </w:tabs>
        <w:suppressAutoHyphens/>
        <w:spacing w:line="240" w:lineRule="atLeast"/>
        <w:jc w:val="both"/>
        <w:rPr>
          <w:b/>
          <w:iCs/>
          <w:spacing w:val="-2"/>
          <w:sz w:val="22"/>
          <w:szCs w:val="22"/>
        </w:rPr>
      </w:pPr>
    </w:p>
    <w:p w14:paraId="3C171074" w14:textId="77777777" w:rsidR="00951DA6" w:rsidRPr="000634A4" w:rsidRDefault="00951DA6">
      <w:pPr>
        <w:tabs>
          <w:tab w:val="left" w:pos="-720"/>
        </w:tabs>
        <w:suppressAutoHyphens/>
        <w:spacing w:line="240" w:lineRule="atLeast"/>
        <w:ind w:firstLine="720"/>
        <w:jc w:val="both"/>
        <w:rPr>
          <w:iCs/>
          <w:spacing w:val="-2"/>
          <w:sz w:val="22"/>
          <w:szCs w:val="22"/>
        </w:rPr>
      </w:pPr>
    </w:p>
    <w:p w14:paraId="10023813" w14:textId="77777777" w:rsidR="00951DA6" w:rsidRPr="000634A4" w:rsidRDefault="00951DA6">
      <w:pPr>
        <w:tabs>
          <w:tab w:val="left" w:pos="-720"/>
        </w:tabs>
        <w:suppressAutoHyphens/>
        <w:spacing w:line="240" w:lineRule="atLeast"/>
        <w:ind w:firstLine="720"/>
        <w:jc w:val="both"/>
        <w:rPr>
          <w:iCs/>
          <w:spacing w:val="-2"/>
          <w:sz w:val="22"/>
          <w:szCs w:val="22"/>
        </w:rPr>
      </w:pPr>
    </w:p>
    <w:p w14:paraId="1FD39675" w14:textId="77777777" w:rsidR="00951DA6" w:rsidRPr="000634A4" w:rsidRDefault="00951DA6">
      <w:pPr>
        <w:tabs>
          <w:tab w:val="left" w:pos="-720"/>
        </w:tabs>
        <w:suppressAutoHyphens/>
        <w:spacing w:line="240" w:lineRule="atLeast"/>
        <w:ind w:firstLine="720"/>
        <w:jc w:val="both"/>
        <w:rPr>
          <w:iCs/>
          <w:spacing w:val="-2"/>
          <w:sz w:val="22"/>
          <w:szCs w:val="22"/>
        </w:rPr>
      </w:pPr>
    </w:p>
    <w:p w14:paraId="0CE43C83" w14:textId="7B2043BD" w:rsidR="007E5B3A" w:rsidRPr="000634A4" w:rsidRDefault="007F7D09">
      <w:pPr>
        <w:tabs>
          <w:tab w:val="left" w:pos="-720"/>
        </w:tabs>
        <w:suppressAutoHyphens/>
        <w:spacing w:line="240" w:lineRule="atLeast"/>
        <w:ind w:firstLine="720"/>
        <w:jc w:val="both"/>
        <w:rPr>
          <w:iCs/>
          <w:spacing w:val="-2"/>
          <w:sz w:val="22"/>
          <w:szCs w:val="22"/>
        </w:rPr>
      </w:pPr>
      <w:r w:rsidRPr="000634A4">
        <w:rPr>
          <w:iCs/>
          <w:spacing w:val="-2"/>
          <w:sz w:val="22"/>
          <w:szCs w:val="22"/>
        </w:rPr>
        <w:t xml:space="preserve">The following table sets forth certain financial data for the two years ended December 31, </w:t>
      </w:r>
      <w:r w:rsidR="00360253" w:rsidRPr="000634A4">
        <w:rPr>
          <w:iCs/>
          <w:spacing w:val="-2"/>
          <w:sz w:val="22"/>
          <w:szCs w:val="22"/>
        </w:rPr>
        <w:t xml:space="preserve">2022 </w:t>
      </w:r>
      <w:r w:rsidR="006769FD" w:rsidRPr="000634A4">
        <w:rPr>
          <w:iCs/>
          <w:spacing w:val="-2"/>
          <w:sz w:val="22"/>
          <w:szCs w:val="22"/>
        </w:rPr>
        <w:t xml:space="preserve">and </w:t>
      </w:r>
      <w:r w:rsidR="00360253" w:rsidRPr="000634A4">
        <w:rPr>
          <w:iCs/>
          <w:spacing w:val="-2"/>
          <w:sz w:val="22"/>
          <w:szCs w:val="22"/>
        </w:rPr>
        <w:t>2021</w:t>
      </w:r>
      <w:r w:rsidRPr="000634A4">
        <w:rPr>
          <w:iCs/>
          <w:spacing w:val="-2"/>
          <w:sz w:val="22"/>
          <w:szCs w:val="22"/>
        </w:rPr>
        <w:t>:</w:t>
      </w:r>
      <w:r w:rsidR="0066414B" w:rsidRPr="000634A4">
        <w:rPr>
          <w:iCs/>
          <w:spacing w:val="-2"/>
          <w:sz w:val="22"/>
          <w:szCs w:val="22"/>
        </w:rPr>
        <w:t xml:space="preserve"> </w:t>
      </w:r>
      <w:r w:rsidR="00E24705" w:rsidRPr="000634A4">
        <w:rPr>
          <w:iCs/>
          <w:spacing w:val="-2"/>
          <w:sz w:val="22"/>
          <w:szCs w:val="22"/>
        </w:rPr>
        <w:t xml:space="preserve"> </w:t>
      </w:r>
    </w:p>
    <w:p w14:paraId="2B343E6B" w14:textId="51989472" w:rsidR="004013EE" w:rsidRPr="000634A4" w:rsidRDefault="00137CAA" w:rsidP="009B345D">
      <w:pPr>
        <w:tabs>
          <w:tab w:val="left" w:pos="-720"/>
        </w:tabs>
        <w:suppressAutoHyphens/>
        <w:spacing w:line="240" w:lineRule="atLeast"/>
        <w:ind w:firstLine="720"/>
        <w:jc w:val="both"/>
        <w:rPr>
          <w:iCs/>
          <w:spacing w:val="-2"/>
          <w:sz w:val="22"/>
          <w:szCs w:val="22"/>
        </w:rPr>
      </w:pPr>
      <w:r w:rsidRPr="000634A4">
        <w:rPr>
          <w:iCs/>
          <w:spacing w:val="-2"/>
          <w:sz w:val="22"/>
          <w:szCs w:val="22"/>
        </w:rPr>
        <w:t xml:space="preserve"> </w:t>
      </w:r>
      <w:r w:rsidR="007E5B3A" w:rsidRPr="000634A4">
        <w:rPr>
          <w:iCs/>
          <w:spacing w:val="-2"/>
          <w:sz w:val="22"/>
          <w:szCs w:val="22"/>
        </w:rPr>
        <w:t xml:space="preserve"> </w:t>
      </w:r>
      <w:r w:rsidR="00951DA6" w:rsidRPr="000634A4">
        <w:rPr>
          <w:iCs/>
          <w:spacing w:val="-2"/>
          <w:sz w:val="22"/>
          <w:szCs w:val="22"/>
        </w:rPr>
        <w:t xml:space="preserve"> </w:t>
      </w:r>
      <w:r w:rsidR="003824B5">
        <w:rPr>
          <w:iCs/>
          <w:spacing w:val="-2"/>
          <w:sz w:val="22"/>
          <w:szCs w:val="22"/>
        </w:rPr>
        <w:t xml:space="preserve">  </w:t>
      </w:r>
      <w:r w:rsidR="00B158ED">
        <w:rPr>
          <w:iCs/>
          <w:noProof/>
          <w:spacing w:val="-2"/>
          <w:sz w:val="22"/>
          <w:szCs w:val="22"/>
        </w:rPr>
        <w:drawing>
          <wp:inline distT="0" distB="0" distL="0" distR="0" wp14:anchorId="2284467F" wp14:editId="14081E93">
            <wp:extent cx="5988050" cy="223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88050" cy="2235200"/>
                    </a:xfrm>
                    <a:prstGeom prst="rect">
                      <a:avLst/>
                    </a:prstGeom>
                    <a:noFill/>
                  </pic:spPr>
                </pic:pic>
              </a:graphicData>
            </a:graphic>
          </wp:inline>
        </w:drawing>
      </w:r>
    </w:p>
    <w:p w14:paraId="6417409D" w14:textId="77777777" w:rsidR="00951DA6" w:rsidRPr="000634A4" w:rsidRDefault="00951DA6" w:rsidP="009B345D">
      <w:pPr>
        <w:tabs>
          <w:tab w:val="left" w:pos="-720"/>
        </w:tabs>
        <w:suppressAutoHyphens/>
        <w:spacing w:line="240" w:lineRule="atLeast"/>
        <w:ind w:firstLine="720"/>
        <w:jc w:val="both"/>
        <w:rPr>
          <w:iCs/>
          <w:spacing w:val="-2"/>
          <w:sz w:val="22"/>
          <w:szCs w:val="22"/>
        </w:rPr>
      </w:pPr>
    </w:p>
    <w:p w14:paraId="45254EEB" w14:textId="5C7FBAF5" w:rsidR="000618C6" w:rsidRPr="000634A4" w:rsidRDefault="00A81DCD" w:rsidP="002E7CF5">
      <w:pPr>
        <w:tabs>
          <w:tab w:val="left" w:pos="-720"/>
        </w:tabs>
        <w:suppressAutoHyphens/>
        <w:spacing w:line="240" w:lineRule="atLeast"/>
        <w:jc w:val="both"/>
        <w:rPr>
          <w:sz w:val="22"/>
          <w:szCs w:val="22"/>
        </w:rPr>
      </w:pPr>
      <w:r w:rsidRPr="000634A4">
        <w:rPr>
          <w:iCs/>
          <w:spacing w:val="-2"/>
          <w:sz w:val="22"/>
          <w:szCs w:val="22"/>
        </w:rPr>
        <w:t xml:space="preserve"> </w:t>
      </w:r>
      <w:r w:rsidRPr="000634A4">
        <w:rPr>
          <w:iCs/>
          <w:spacing w:val="-2"/>
          <w:sz w:val="22"/>
          <w:szCs w:val="22"/>
        </w:rPr>
        <w:tab/>
      </w:r>
      <w:r w:rsidRPr="000634A4">
        <w:rPr>
          <w:iCs/>
          <w:spacing w:val="-2"/>
          <w:sz w:val="22"/>
          <w:szCs w:val="22"/>
        </w:rPr>
        <w:tab/>
      </w:r>
      <w:r w:rsidRPr="000634A4">
        <w:rPr>
          <w:iCs/>
          <w:spacing w:val="-2"/>
          <w:sz w:val="22"/>
          <w:szCs w:val="22"/>
        </w:rPr>
        <w:tab/>
      </w:r>
      <w:r w:rsidRPr="000634A4">
        <w:rPr>
          <w:iCs/>
          <w:spacing w:val="-2"/>
          <w:sz w:val="22"/>
          <w:szCs w:val="22"/>
        </w:rPr>
        <w:tab/>
      </w:r>
      <w:bookmarkStart w:id="16" w:name="_MON_1394447904"/>
      <w:bookmarkStart w:id="17" w:name="_MON_1389109665"/>
      <w:bookmarkStart w:id="18" w:name="_MON_1390382572"/>
      <w:bookmarkStart w:id="19" w:name="_MON_1389109683"/>
      <w:bookmarkStart w:id="20" w:name="_MON_1389109652"/>
      <w:bookmarkEnd w:id="16"/>
      <w:bookmarkEnd w:id="17"/>
      <w:bookmarkEnd w:id="18"/>
      <w:bookmarkEnd w:id="19"/>
      <w:bookmarkEnd w:id="20"/>
      <w:r w:rsidR="00670729" w:rsidRPr="000634A4">
        <w:rPr>
          <w:sz w:val="22"/>
          <w:szCs w:val="22"/>
        </w:rPr>
        <w:t xml:space="preserve"> </w:t>
      </w:r>
      <w:r w:rsidR="00CE07F5" w:rsidRPr="000634A4">
        <w:rPr>
          <w:sz w:val="22"/>
          <w:szCs w:val="22"/>
        </w:rPr>
        <w:t xml:space="preserve"> </w:t>
      </w:r>
      <w:r w:rsidR="001853F1" w:rsidRPr="000634A4">
        <w:rPr>
          <w:sz w:val="22"/>
          <w:szCs w:val="22"/>
        </w:rPr>
        <w:t xml:space="preserve"> </w:t>
      </w:r>
      <w:r w:rsidR="00C64C2C" w:rsidRPr="000634A4">
        <w:rPr>
          <w:sz w:val="22"/>
          <w:szCs w:val="22"/>
        </w:rPr>
        <w:t xml:space="preserve"> </w:t>
      </w:r>
      <w:r w:rsidR="000F69D8" w:rsidRPr="000634A4">
        <w:rPr>
          <w:sz w:val="22"/>
          <w:szCs w:val="22"/>
        </w:rPr>
        <w:t xml:space="preserve"> </w:t>
      </w:r>
    </w:p>
    <w:p w14:paraId="1772FC84" w14:textId="28EB2105" w:rsidR="00CE1A7A" w:rsidRPr="000634A4" w:rsidRDefault="00CE1A7A" w:rsidP="00732F2E">
      <w:pPr>
        <w:tabs>
          <w:tab w:val="left" w:pos="-720"/>
        </w:tabs>
        <w:suppressAutoHyphens/>
        <w:jc w:val="both"/>
        <w:rPr>
          <w:sz w:val="22"/>
          <w:szCs w:val="22"/>
          <w:shd w:val="clear" w:color="auto" w:fill="FFFFFF"/>
        </w:rPr>
      </w:pPr>
      <w:r w:rsidRPr="000634A4">
        <w:rPr>
          <w:sz w:val="22"/>
          <w:szCs w:val="22"/>
        </w:rPr>
        <w:tab/>
      </w:r>
      <w:bookmarkStart w:id="21" w:name="_Hlk95223174"/>
      <w:r w:rsidR="00B81960" w:rsidRPr="000634A4">
        <w:rPr>
          <w:sz w:val="22"/>
          <w:szCs w:val="22"/>
          <w:shd w:val="clear" w:color="auto" w:fill="FFFFFF"/>
        </w:rPr>
        <w:t>For a summary of our Critical Accounting Estimates and Policies, please refer to Note 1 of the Notes to our Consolidated Financial Statements, which are included elsewhere in this Report.</w:t>
      </w:r>
      <w:bookmarkEnd w:id="21"/>
    </w:p>
    <w:p w14:paraId="053789D4" w14:textId="77777777" w:rsidR="00E75E4F" w:rsidRPr="000634A4" w:rsidRDefault="00E75E4F" w:rsidP="00482F4E">
      <w:pPr>
        <w:rPr>
          <w:b/>
          <w:bCs/>
          <w:sz w:val="22"/>
          <w:szCs w:val="22"/>
        </w:rPr>
      </w:pPr>
    </w:p>
    <w:p w14:paraId="7377DF54" w14:textId="676E1564" w:rsidR="00482F4E" w:rsidRPr="000634A4" w:rsidRDefault="00482F4E" w:rsidP="00482F4E">
      <w:pPr>
        <w:rPr>
          <w:b/>
          <w:bCs/>
          <w:sz w:val="22"/>
          <w:szCs w:val="22"/>
        </w:rPr>
      </w:pPr>
      <w:r w:rsidRPr="000634A4">
        <w:rPr>
          <w:b/>
          <w:bCs/>
          <w:sz w:val="22"/>
          <w:szCs w:val="22"/>
        </w:rPr>
        <w:t>Non-GAAP Financial Measures</w:t>
      </w:r>
    </w:p>
    <w:p w14:paraId="58BFA076" w14:textId="77777777" w:rsidR="00482F4E" w:rsidRPr="000634A4" w:rsidRDefault="00482F4E" w:rsidP="00482F4E">
      <w:pPr>
        <w:jc w:val="both"/>
        <w:rPr>
          <w:sz w:val="22"/>
          <w:szCs w:val="22"/>
        </w:rPr>
      </w:pPr>
    </w:p>
    <w:p w14:paraId="4A7BADF3" w14:textId="77777777" w:rsidR="00482F4E" w:rsidRPr="000634A4" w:rsidRDefault="00482F4E" w:rsidP="00482F4E">
      <w:pPr>
        <w:ind w:firstLine="720"/>
        <w:jc w:val="both"/>
        <w:rPr>
          <w:sz w:val="22"/>
          <w:szCs w:val="22"/>
        </w:rPr>
      </w:pPr>
      <w:r w:rsidRPr="000634A4">
        <w:rPr>
          <w:sz w:val="22"/>
          <w:szCs w:val="22"/>
        </w:rPr>
        <w:t>In addition to the financial information prepared in conformity with U.S. GAAP (“GAAP”), we provide certain non-GAAP financial information. We believe that these non-GAAP financial measures assist investors in making comparisons of period-to-period operating results. In some respects, management believes non-GAAP financial measures are more indicative of our ongoing core operating performance than their GAAP equivalents by making adjustments that management believes are reflective of the ongoing performance of the business.</w:t>
      </w:r>
    </w:p>
    <w:p w14:paraId="05CD3060" w14:textId="77777777" w:rsidR="00482F4E" w:rsidRPr="000634A4" w:rsidRDefault="00482F4E" w:rsidP="00482F4E">
      <w:pPr>
        <w:ind w:firstLine="720"/>
        <w:jc w:val="both"/>
        <w:rPr>
          <w:sz w:val="22"/>
          <w:szCs w:val="22"/>
        </w:rPr>
      </w:pPr>
    </w:p>
    <w:p w14:paraId="2E0AAA3A" w14:textId="1A3DE0E8" w:rsidR="0037705F" w:rsidRPr="000634A4" w:rsidRDefault="00482F4E" w:rsidP="0037705F">
      <w:pPr>
        <w:ind w:firstLine="720"/>
        <w:jc w:val="both"/>
        <w:rPr>
          <w:sz w:val="22"/>
          <w:szCs w:val="22"/>
        </w:rPr>
      </w:pPr>
      <w:r w:rsidRPr="000634A4">
        <w:rPr>
          <w:sz w:val="22"/>
          <w:szCs w:val="22"/>
        </w:rPr>
        <w:t>We believe that the presentation of this non-GAAP financial information provides investors with greater transparency by providing investors a more complete understanding of our financial</w:t>
      </w:r>
      <w:r w:rsidR="0037705F" w:rsidRPr="000634A4">
        <w:rPr>
          <w:sz w:val="22"/>
          <w:szCs w:val="22"/>
        </w:rPr>
        <w:t xml:space="preserve"> performance, competitive position, and prospects for the future, particularly by providing the same information that management and our Board of Directors use to evaluate our performance and manage the business. However, the non-GAAP financial measures presented in this </w:t>
      </w:r>
      <w:r w:rsidR="008C77FB" w:rsidRPr="000634A4">
        <w:rPr>
          <w:sz w:val="22"/>
          <w:szCs w:val="22"/>
        </w:rPr>
        <w:t xml:space="preserve">Annual </w:t>
      </w:r>
      <w:r w:rsidR="0037705F" w:rsidRPr="000634A4">
        <w:rPr>
          <w:sz w:val="22"/>
          <w:szCs w:val="22"/>
        </w:rPr>
        <w:t>Report on Form 10-</w:t>
      </w:r>
      <w:r w:rsidR="008C77FB" w:rsidRPr="000634A4">
        <w:rPr>
          <w:sz w:val="22"/>
          <w:szCs w:val="22"/>
        </w:rPr>
        <w:t>K</w:t>
      </w:r>
      <w:r w:rsidR="0037705F" w:rsidRPr="000634A4">
        <w:rPr>
          <w:sz w:val="22"/>
          <w:szCs w:val="22"/>
        </w:rPr>
        <w:t xml:space="preserve"> have certain limitations in that they do not reflect all of the costs associated with the operations of our business as determined in accordance with GAAP. Therefore, investors should consider non-GAAP financial measures in addition to, and not as a substitute for, or as superior to, measures of financial performance prepared in accordance with GAAP. Further, the non-GAAP financial measures that we present may differ from similar non-GAAP financial measures used by other companies.</w:t>
      </w:r>
    </w:p>
    <w:p w14:paraId="6A313801" w14:textId="77777777" w:rsidR="0037705F" w:rsidRPr="000634A4" w:rsidRDefault="0037705F" w:rsidP="0037705F">
      <w:pPr>
        <w:jc w:val="both"/>
        <w:rPr>
          <w:sz w:val="22"/>
          <w:szCs w:val="22"/>
        </w:rPr>
      </w:pPr>
    </w:p>
    <w:p w14:paraId="7D3E5C65" w14:textId="77777777" w:rsidR="0037705F" w:rsidRPr="000634A4" w:rsidRDefault="0037705F" w:rsidP="0037705F">
      <w:pPr>
        <w:rPr>
          <w:i/>
          <w:iCs/>
          <w:sz w:val="22"/>
          <w:szCs w:val="22"/>
        </w:rPr>
      </w:pPr>
      <w:r w:rsidRPr="000634A4">
        <w:rPr>
          <w:i/>
          <w:iCs/>
          <w:sz w:val="22"/>
          <w:szCs w:val="22"/>
        </w:rPr>
        <w:t>Adjusted EBITDA</w:t>
      </w:r>
    </w:p>
    <w:p w14:paraId="5C6B8D52" w14:textId="77777777" w:rsidR="0037705F" w:rsidRPr="000634A4" w:rsidRDefault="0037705F" w:rsidP="0037705F">
      <w:pPr>
        <w:rPr>
          <w:i/>
          <w:iCs/>
          <w:sz w:val="22"/>
          <w:szCs w:val="22"/>
        </w:rPr>
      </w:pPr>
    </w:p>
    <w:p w14:paraId="25195BBB" w14:textId="77777777" w:rsidR="0037705F" w:rsidRPr="000634A4" w:rsidRDefault="0037705F" w:rsidP="0037705F">
      <w:pPr>
        <w:ind w:firstLine="720"/>
        <w:jc w:val="both"/>
        <w:rPr>
          <w:sz w:val="22"/>
          <w:szCs w:val="22"/>
        </w:rPr>
      </w:pPr>
      <w:r w:rsidRPr="000634A4">
        <w:rPr>
          <w:sz w:val="22"/>
          <w:szCs w:val="22"/>
        </w:rPr>
        <w:t xml:space="preserve">We define Adjusted EBITDA as net income (loss) attributable to Innodata Inc. and its subsidiaries in accordance with U.S. GAAP before interest expense, income taxes, depreciation and amortization of intangible assets (which derives EBITDA), plus additional adjustments for loss on impairment of intangible assets and goodwill, stock-based compensation, income (loss) attributable to non-controlling interests and other one-time costs. We use Adjusted EBITDA to evaluate core results of operations and trends between fiscal periods and believe that these measures are important components of our internal performance measurement process. </w:t>
      </w:r>
    </w:p>
    <w:p w14:paraId="58E0DFB6" w14:textId="6552A1F5" w:rsidR="0037705F" w:rsidRPr="000634A4" w:rsidRDefault="0037705F" w:rsidP="0037705F">
      <w:pPr>
        <w:rPr>
          <w:sz w:val="22"/>
          <w:szCs w:val="22"/>
        </w:rPr>
      </w:pPr>
    </w:p>
    <w:p w14:paraId="45F32D99" w14:textId="3DA5958A" w:rsidR="0037705F" w:rsidRPr="000634A4" w:rsidRDefault="0037705F" w:rsidP="0037705F">
      <w:pPr>
        <w:ind w:firstLine="720"/>
        <w:jc w:val="both"/>
        <w:rPr>
          <w:sz w:val="22"/>
          <w:szCs w:val="22"/>
        </w:rPr>
      </w:pPr>
      <w:r w:rsidRPr="000634A4">
        <w:rPr>
          <w:sz w:val="22"/>
          <w:szCs w:val="22"/>
        </w:rPr>
        <w:lastRenderedPageBreak/>
        <w:t xml:space="preserve">The following table contains a reconciliation of GAAP net income (loss) attributable to Innodata Inc. and its subsidiaries to Adjusted EBITDA (loss) for the </w:t>
      </w:r>
      <w:r w:rsidR="00224292" w:rsidRPr="000634A4">
        <w:rPr>
          <w:sz w:val="22"/>
          <w:szCs w:val="22"/>
        </w:rPr>
        <w:t>year</w:t>
      </w:r>
      <w:r w:rsidR="007E39BF" w:rsidRPr="000634A4">
        <w:rPr>
          <w:sz w:val="22"/>
          <w:szCs w:val="22"/>
        </w:rPr>
        <w:t>s</w:t>
      </w:r>
      <w:r w:rsidR="00224292" w:rsidRPr="000634A4">
        <w:rPr>
          <w:sz w:val="22"/>
          <w:szCs w:val="22"/>
        </w:rPr>
        <w:t xml:space="preserve"> </w:t>
      </w:r>
      <w:r w:rsidRPr="000634A4">
        <w:rPr>
          <w:sz w:val="22"/>
          <w:szCs w:val="22"/>
        </w:rPr>
        <w:t xml:space="preserve">ended </w:t>
      </w:r>
      <w:r w:rsidR="00224292" w:rsidRPr="000634A4">
        <w:rPr>
          <w:sz w:val="22"/>
          <w:szCs w:val="22"/>
        </w:rPr>
        <w:t xml:space="preserve">December </w:t>
      </w:r>
      <w:r w:rsidRPr="000634A4">
        <w:rPr>
          <w:sz w:val="22"/>
          <w:szCs w:val="22"/>
        </w:rPr>
        <w:t>3</w:t>
      </w:r>
      <w:r w:rsidR="00224292" w:rsidRPr="000634A4">
        <w:rPr>
          <w:sz w:val="22"/>
          <w:szCs w:val="22"/>
        </w:rPr>
        <w:t>1</w:t>
      </w:r>
      <w:r w:rsidRPr="000634A4">
        <w:rPr>
          <w:sz w:val="22"/>
          <w:szCs w:val="22"/>
        </w:rPr>
        <w:t>, 2022 and 2021 (in thousands).</w:t>
      </w:r>
    </w:p>
    <w:p w14:paraId="4408E140" w14:textId="77777777" w:rsidR="00224292" w:rsidRPr="000634A4" w:rsidRDefault="00224292" w:rsidP="0037705F">
      <w:pPr>
        <w:ind w:firstLine="720"/>
        <w:jc w:val="both"/>
        <w:rPr>
          <w:sz w:val="22"/>
          <w:szCs w:val="22"/>
        </w:rPr>
      </w:pPr>
    </w:p>
    <w:p w14:paraId="69B729A4" w14:textId="27979A3A" w:rsidR="00854497" w:rsidRDefault="0037705F" w:rsidP="0037705F">
      <w:pPr>
        <w:tabs>
          <w:tab w:val="left" w:pos="-720"/>
        </w:tabs>
        <w:suppressAutoHyphens/>
        <w:spacing w:line="240" w:lineRule="atLeast"/>
        <w:jc w:val="center"/>
        <w:rPr>
          <w:spacing w:val="-2"/>
          <w:sz w:val="22"/>
          <w:szCs w:val="22"/>
        </w:rPr>
      </w:pPr>
      <w:r w:rsidRPr="000634A4">
        <w:rPr>
          <w:spacing w:val="-2"/>
          <w:sz w:val="22"/>
          <w:szCs w:val="22"/>
        </w:rPr>
        <w:t xml:space="preserve"> </w:t>
      </w:r>
      <w:r w:rsidR="006C677F" w:rsidRPr="000634A4">
        <w:rPr>
          <w:spacing w:val="-2"/>
          <w:sz w:val="22"/>
          <w:szCs w:val="22"/>
        </w:rPr>
        <w:t xml:space="preserve"> </w:t>
      </w:r>
      <w:r w:rsidR="007100D7" w:rsidRPr="000634A4">
        <w:rPr>
          <w:spacing w:val="-2"/>
          <w:sz w:val="22"/>
          <w:szCs w:val="22"/>
        </w:rPr>
        <w:t xml:space="preserve"> </w:t>
      </w:r>
      <w:r w:rsidR="00854497" w:rsidRPr="00854497">
        <w:rPr>
          <w:noProof/>
        </w:rPr>
        <w:drawing>
          <wp:inline distT="0" distB="0" distL="0" distR="0" wp14:anchorId="75D83B87" wp14:editId="4AD4A0B7">
            <wp:extent cx="6183630" cy="431482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83630" cy="4314825"/>
                    </a:xfrm>
                    <a:prstGeom prst="rect">
                      <a:avLst/>
                    </a:prstGeom>
                    <a:noFill/>
                    <a:ln>
                      <a:noFill/>
                    </a:ln>
                  </pic:spPr>
                </pic:pic>
              </a:graphicData>
            </a:graphic>
          </wp:inline>
        </w:drawing>
      </w:r>
      <w:r w:rsidR="001E0230" w:rsidRPr="000634A4">
        <w:rPr>
          <w:spacing w:val="-2"/>
          <w:sz w:val="22"/>
          <w:szCs w:val="22"/>
        </w:rPr>
        <w:t xml:space="preserve">  </w:t>
      </w:r>
    </w:p>
    <w:p w14:paraId="1D291050" w14:textId="177B2E25" w:rsidR="0037705F" w:rsidRPr="000634A4" w:rsidRDefault="00854497" w:rsidP="0037705F">
      <w:pPr>
        <w:tabs>
          <w:tab w:val="left" w:pos="-720"/>
        </w:tabs>
        <w:suppressAutoHyphens/>
        <w:spacing w:line="240" w:lineRule="atLeast"/>
        <w:jc w:val="center"/>
        <w:rPr>
          <w:spacing w:val="-2"/>
          <w:sz w:val="22"/>
          <w:szCs w:val="22"/>
        </w:rPr>
      </w:pPr>
      <w:r w:rsidRPr="00854497">
        <w:rPr>
          <w:noProof/>
        </w:rPr>
        <w:drawing>
          <wp:inline distT="0" distB="0" distL="0" distR="0" wp14:anchorId="4AFD0AA3" wp14:editId="5B94E08E">
            <wp:extent cx="6183630" cy="345884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3630" cy="3458845"/>
                    </a:xfrm>
                    <a:prstGeom prst="rect">
                      <a:avLst/>
                    </a:prstGeom>
                    <a:noFill/>
                    <a:ln>
                      <a:noFill/>
                    </a:ln>
                  </pic:spPr>
                </pic:pic>
              </a:graphicData>
            </a:graphic>
          </wp:inline>
        </w:drawing>
      </w:r>
    </w:p>
    <w:p w14:paraId="0C3FAD5D" w14:textId="77777777" w:rsidR="006C677F" w:rsidRPr="000634A4" w:rsidRDefault="006C677F">
      <w:pPr>
        <w:tabs>
          <w:tab w:val="left" w:pos="-720"/>
        </w:tabs>
        <w:suppressAutoHyphens/>
        <w:spacing w:line="240" w:lineRule="atLeast"/>
        <w:jc w:val="center"/>
        <w:rPr>
          <w:spacing w:val="-2"/>
          <w:sz w:val="22"/>
          <w:szCs w:val="22"/>
        </w:rPr>
      </w:pPr>
    </w:p>
    <w:p w14:paraId="79BD4ACE" w14:textId="77777777" w:rsidR="006C677F" w:rsidRPr="000634A4" w:rsidRDefault="006C677F">
      <w:pPr>
        <w:tabs>
          <w:tab w:val="left" w:pos="-720"/>
        </w:tabs>
        <w:suppressAutoHyphens/>
        <w:spacing w:line="240" w:lineRule="atLeast"/>
        <w:jc w:val="center"/>
        <w:rPr>
          <w:spacing w:val="-2"/>
          <w:sz w:val="22"/>
          <w:szCs w:val="22"/>
        </w:rPr>
      </w:pPr>
    </w:p>
    <w:p w14:paraId="4B60888F" w14:textId="1DB2B1D4" w:rsidR="00A81DCD" w:rsidRPr="000634A4" w:rsidRDefault="00A81DCD" w:rsidP="00A81DCD">
      <w:pPr>
        <w:tabs>
          <w:tab w:val="center" w:pos="5400"/>
        </w:tabs>
        <w:suppressAutoHyphens/>
        <w:spacing w:line="240" w:lineRule="atLeast"/>
        <w:rPr>
          <w:b/>
          <w:bCs/>
          <w:spacing w:val="-2"/>
          <w:sz w:val="22"/>
          <w:szCs w:val="22"/>
        </w:rPr>
      </w:pPr>
      <w:r w:rsidRPr="000634A4">
        <w:rPr>
          <w:b/>
          <w:bCs/>
          <w:spacing w:val="-2"/>
          <w:sz w:val="22"/>
          <w:szCs w:val="22"/>
        </w:rPr>
        <w:t>Results of Operations</w:t>
      </w:r>
    </w:p>
    <w:p w14:paraId="5A800C73" w14:textId="77777777" w:rsidR="00865417" w:rsidRPr="000634A4" w:rsidRDefault="00865417" w:rsidP="00A81DCD">
      <w:pPr>
        <w:tabs>
          <w:tab w:val="left" w:pos="-720"/>
        </w:tabs>
        <w:suppressAutoHyphens/>
        <w:spacing w:line="240" w:lineRule="atLeast"/>
        <w:jc w:val="both"/>
        <w:rPr>
          <w:b/>
          <w:spacing w:val="-2"/>
          <w:sz w:val="22"/>
          <w:szCs w:val="22"/>
        </w:rPr>
      </w:pPr>
    </w:p>
    <w:p w14:paraId="712FAEC5" w14:textId="326A2FC0" w:rsidR="007E506E" w:rsidRPr="000634A4" w:rsidRDefault="00EF1BEC" w:rsidP="007E506E">
      <w:pPr>
        <w:tabs>
          <w:tab w:val="left" w:pos="-720"/>
        </w:tabs>
        <w:suppressAutoHyphens/>
        <w:spacing w:line="240" w:lineRule="atLeast"/>
        <w:jc w:val="both"/>
        <w:rPr>
          <w:b/>
          <w:spacing w:val="-2"/>
          <w:sz w:val="22"/>
          <w:szCs w:val="22"/>
        </w:rPr>
      </w:pPr>
      <w:r w:rsidRPr="000634A4">
        <w:rPr>
          <w:color w:val="000000"/>
          <w:sz w:val="22"/>
          <w:szCs w:val="22"/>
        </w:rPr>
        <w:tab/>
      </w:r>
      <w:r w:rsidR="007E506E" w:rsidRPr="000634A4">
        <w:rPr>
          <w:color w:val="000000"/>
          <w:sz w:val="22"/>
          <w:szCs w:val="22"/>
        </w:rPr>
        <w:t xml:space="preserve">Amounts in the MD&amp;A below </w:t>
      </w:r>
      <w:r w:rsidR="00D11EC8" w:rsidRPr="000634A4">
        <w:rPr>
          <w:color w:val="000000"/>
          <w:sz w:val="22"/>
          <w:szCs w:val="22"/>
        </w:rPr>
        <w:t xml:space="preserve">are after elimination of any inter-segment profit and </w:t>
      </w:r>
      <w:r w:rsidR="007E506E" w:rsidRPr="000634A4">
        <w:rPr>
          <w:color w:val="000000"/>
          <w:sz w:val="22"/>
          <w:szCs w:val="22"/>
        </w:rPr>
        <w:t>have been rounded. All percentages have been calculated using rounded amounts.</w:t>
      </w:r>
    </w:p>
    <w:p w14:paraId="1F56A5D7" w14:textId="77777777" w:rsidR="001A7894" w:rsidRPr="000634A4" w:rsidRDefault="001A7894" w:rsidP="00A81DCD">
      <w:pPr>
        <w:tabs>
          <w:tab w:val="left" w:pos="-720"/>
        </w:tabs>
        <w:suppressAutoHyphens/>
        <w:spacing w:line="240" w:lineRule="atLeast"/>
        <w:jc w:val="both"/>
        <w:rPr>
          <w:b/>
          <w:spacing w:val="-2"/>
          <w:sz w:val="22"/>
          <w:szCs w:val="22"/>
        </w:rPr>
      </w:pPr>
    </w:p>
    <w:p w14:paraId="779552FA" w14:textId="66F8131F" w:rsidR="00A81DCD" w:rsidRPr="000634A4" w:rsidRDefault="00A81DCD" w:rsidP="00A81DCD">
      <w:pPr>
        <w:tabs>
          <w:tab w:val="left" w:pos="-720"/>
        </w:tabs>
        <w:suppressAutoHyphens/>
        <w:spacing w:line="240" w:lineRule="atLeast"/>
        <w:jc w:val="both"/>
        <w:rPr>
          <w:b/>
          <w:spacing w:val="-2"/>
          <w:sz w:val="22"/>
          <w:szCs w:val="22"/>
        </w:rPr>
      </w:pPr>
      <w:r w:rsidRPr="000634A4">
        <w:rPr>
          <w:b/>
          <w:spacing w:val="-2"/>
          <w:sz w:val="22"/>
          <w:szCs w:val="22"/>
        </w:rPr>
        <w:t xml:space="preserve">Year Ended December 31, </w:t>
      </w:r>
      <w:r w:rsidR="00496610" w:rsidRPr="000634A4">
        <w:rPr>
          <w:b/>
          <w:spacing w:val="-2"/>
          <w:sz w:val="22"/>
          <w:szCs w:val="22"/>
        </w:rPr>
        <w:t xml:space="preserve">2022 </w:t>
      </w:r>
      <w:r w:rsidRPr="000634A4">
        <w:rPr>
          <w:b/>
          <w:spacing w:val="-2"/>
          <w:sz w:val="22"/>
          <w:szCs w:val="22"/>
        </w:rPr>
        <w:t xml:space="preserve">Compared to the Year Ended December 31, </w:t>
      </w:r>
      <w:r w:rsidR="00496610" w:rsidRPr="000634A4">
        <w:rPr>
          <w:b/>
          <w:spacing w:val="-2"/>
          <w:sz w:val="22"/>
          <w:szCs w:val="22"/>
        </w:rPr>
        <w:t>2021</w:t>
      </w:r>
    </w:p>
    <w:p w14:paraId="2538EB2D" w14:textId="77777777" w:rsidR="002C63D3" w:rsidRPr="000634A4" w:rsidRDefault="002C63D3" w:rsidP="00A81DCD">
      <w:pPr>
        <w:tabs>
          <w:tab w:val="left" w:pos="-720"/>
        </w:tabs>
        <w:suppressAutoHyphens/>
        <w:spacing w:line="240" w:lineRule="atLeast"/>
        <w:jc w:val="both"/>
        <w:rPr>
          <w:b/>
          <w:spacing w:val="-2"/>
          <w:sz w:val="22"/>
          <w:szCs w:val="22"/>
        </w:rPr>
      </w:pPr>
    </w:p>
    <w:p w14:paraId="6FD1C7F8" w14:textId="77777777" w:rsidR="009F5AAB" w:rsidRPr="000634A4" w:rsidRDefault="009F5AAB" w:rsidP="009F5AAB">
      <w:pPr>
        <w:keepNext/>
        <w:keepLines/>
        <w:tabs>
          <w:tab w:val="left" w:pos="-720"/>
        </w:tabs>
        <w:suppressAutoHyphens/>
        <w:jc w:val="both"/>
        <w:rPr>
          <w:i/>
          <w:iCs/>
          <w:spacing w:val="-2"/>
          <w:sz w:val="22"/>
          <w:szCs w:val="22"/>
        </w:rPr>
      </w:pPr>
      <w:r w:rsidRPr="000634A4">
        <w:rPr>
          <w:i/>
          <w:iCs/>
          <w:spacing w:val="-2"/>
          <w:sz w:val="22"/>
          <w:szCs w:val="22"/>
        </w:rPr>
        <w:t>Revenues</w:t>
      </w:r>
    </w:p>
    <w:p w14:paraId="5DF15B12" w14:textId="77777777" w:rsidR="009F5AAB" w:rsidRPr="000634A4" w:rsidRDefault="009F5AAB" w:rsidP="009F5AAB">
      <w:pPr>
        <w:keepNext/>
        <w:keepLines/>
        <w:tabs>
          <w:tab w:val="left" w:pos="-720"/>
        </w:tabs>
        <w:suppressAutoHyphens/>
        <w:jc w:val="both"/>
        <w:rPr>
          <w:i/>
          <w:iCs/>
          <w:spacing w:val="-2"/>
          <w:sz w:val="22"/>
          <w:szCs w:val="22"/>
        </w:rPr>
      </w:pPr>
    </w:p>
    <w:p w14:paraId="0F3FA3A0" w14:textId="04D68C84" w:rsidR="009F5AAB" w:rsidRPr="000634A4" w:rsidRDefault="009F5AAB" w:rsidP="009F5AAB">
      <w:pPr>
        <w:keepNext/>
        <w:keepLines/>
        <w:ind w:firstLine="720"/>
        <w:jc w:val="both"/>
        <w:rPr>
          <w:sz w:val="22"/>
          <w:szCs w:val="22"/>
        </w:rPr>
      </w:pPr>
      <w:r w:rsidRPr="000634A4">
        <w:rPr>
          <w:spacing w:val="-2"/>
          <w:sz w:val="22"/>
          <w:szCs w:val="22"/>
        </w:rPr>
        <w:t>Total r</w:t>
      </w:r>
      <w:r w:rsidRPr="000634A4">
        <w:rPr>
          <w:sz w:val="22"/>
          <w:szCs w:val="22"/>
        </w:rPr>
        <w:t xml:space="preserve">evenues were </w:t>
      </w:r>
      <w:r w:rsidR="00C35EBA" w:rsidRPr="000634A4">
        <w:rPr>
          <w:sz w:val="22"/>
          <w:szCs w:val="22"/>
        </w:rPr>
        <w:t>$</w:t>
      </w:r>
      <w:r w:rsidR="00B30209" w:rsidRPr="000634A4">
        <w:rPr>
          <w:sz w:val="22"/>
          <w:szCs w:val="22"/>
        </w:rPr>
        <w:t xml:space="preserve">79.0 </w:t>
      </w:r>
      <w:r w:rsidRPr="000634A4">
        <w:rPr>
          <w:sz w:val="22"/>
          <w:szCs w:val="22"/>
        </w:rPr>
        <w:t xml:space="preserve">million </w:t>
      </w:r>
      <w:r w:rsidR="00C94338" w:rsidRPr="000634A4">
        <w:rPr>
          <w:sz w:val="22"/>
          <w:szCs w:val="22"/>
        </w:rPr>
        <w:t>and $</w:t>
      </w:r>
      <w:r w:rsidR="00D02D2D" w:rsidRPr="000634A4">
        <w:rPr>
          <w:sz w:val="22"/>
          <w:szCs w:val="22"/>
        </w:rPr>
        <w:t>69.7</w:t>
      </w:r>
      <w:r w:rsidR="00C94338" w:rsidRPr="000634A4">
        <w:rPr>
          <w:sz w:val="22"/>
          <w:szCs w:val="22"/>
        </w:rPr>
        <w:t xml:space="preserve"> million </w:t>
      </w:r>
      <w:r w:rsidRPr="000634A4">
        <w:rPr>
          <w:sz w:val="22"/>
          <w:szCs w:val="22"/>
        </w:rPr>
        <w:t>for the year</w:t>
      </w:r>
      <w:r w:rsidR="00C94338" w:rsidRPr="000634A4">
        <w:rPr>
          <w:sz w:val="22"/>
          <w:szCs w:val="22"/>
        </w:rPr>
        <w:t>s</w:t>
      </w:r>
      <w:r w:rsidRPr="000634A4">
        <w:rPr>
          <w:sz w:val="22"/>
          <w:szCs w:val="22"/>
        </w:rPr>
        <w:t xml:space="preserve"> ended December 31, </w:t>
      </w:r>
      <w:r w:rsidR="00D02D2D" w:rsidRPr="000634A4">
        <w:rPr>
          <w:sz w:val="22"/>
          <w:szCs w:val="22"/>
        </w:rPr>
        <w:t xml:space="preserve">2022 </w:t>
      </w:r>
      <w:r w:rsidR="00C94338" w:rsidRPr="000634A4">
        <w:rPr>
          <w:sz w:val="22"/>
          <w:szCs w:val="22"/>
        </w:rPr>
        <w:t xml:space="preserve">and </w:t>
      </w:r>
      <w:r w:rsidR="00D02D2D" w:rsidRPr="000634A4">
        <w:rPr>
          <w:sz w:val="22"/>
          <w:szCs w:val="22"/>
        </w:rPr>
        <w:t>2021</w:t>
      </w:r>
      <w:r w:rsidR="00C94338" w:rsidRPr="000634A4">
        <w:rPr>
          <w:sz w:val="22"/>
          <w:szCs w:val="22"/>
        </w:rPr>
        <w:t>, respectively</w:t>
      </w:r>
      <w:r w:rsidRPr="000634A4">
        <w:rPr>
          <w:sz w:val="22"/>
          <w:szCs w:val="22"/>
        </w:rPr>
        <w:t xml:space="preserve">, an increase of </w:t>
      </w:r>
      <w:r w:rsidR="00C35EBA" w:rsidRPr="000634A4">
        <w:rPr>
          <w:sz w:val="22"/>
          <w:szCs w:val="22"/>
        </w:rPr>
        <w:t>$</w:t>
      </w:r>
      <w:r w:rsidR="009D3F26" w:rsidRPr="000634A4">
        <w:rPr>
          <w:sz w:val="22"/>
          <w:szCs w:val="22"/>
        </w:rPr>
        <w:t xml:space="preserve">9.3 </w:t>
      </w:r>
      <w:r w:rsidRPr="000634A4">
        <w:rPr>
          <w:sz w:val="22"/>
          <w:szCs w:val="22"/>
        </w:rPr>
        <w:t xml:space="preserve">million or </w:t>
      </w:r>
      <w:r w:rsidR="00CA296A" w:rsidRPr="000634A4">
        <w:rPr>
          <w:sz w:val="22"/>
          <w:szCs w:val="22"/>
        </w:rPr>
        <w:t xml:space="preserve">approximately </w:t>
      </w:r>
      <w:r w:rsidR="009D3F26" w:rsidRPr="000634A4">
        <w:rPr>
          <w:sz w:val="22"/>
          <w:szCs w:val="22"/>
        </w:rPr>
        <w:t>13</w:t>
      </w:r>
      <w:r w:rsidR="00C35EBA" w:rsidRPr="000634A4">
        <w:rPr>
          <w:sz w:val="22"/>
          <w:szCs w:val="22"/>
        </w:rPr>
        <w:t>%</w:t>
      </w:r>
      <w:r w:rsidR="00C94338" w:rsidRPr="000634A4">
        <w:rPr>
          <w:sz w:val="22"/>
          <w:szCs w:val="22"/>
        </w:rPr>
        <w:t>.</w:t>
      </w:r>
      <w:r w:rsidR="00C35EBA" w:rsidRPr="000634A4">
        <w:rPr>
          <w:sz w:val="22"/>
          <w:szCs w:val="22"/>
        </w:rPr>
        <w:t xml:space="preserve"> </w:t>
      </w:r>
    </w:p>
    <w:p w14:paraId="1774DBB0" w14:textId="77777777" w:rsidR="009F5AAB" w:rsidRPr="000634A4" w:rsidRDefault="009F5AAB" w:rsidP="009F5AAB">
      <w:pPr>
        <w:ind w:firstLine="286"/>
        <w:jc w:val="both"/>
        <w:rPr>
          <w:sz w:val="22"/>
          <w:szCs w:val="22"/>
        </w:rPr>
      </w:pPr>
    </w:p>
    <w:p w14:paraId="791CA901" w14:textId="1F6FB31F" w:rsidR="009F5AAB" w:rsidRPr="000634A4" w:rsidRDefault="009F5AAB" w:rsidP="009F5AAB">
      <w:pPr>
        <w:ind w:firstLine="720"/>
        <w:jc w:val="both"/>
        <w:rPr>
          <w:spacing w:val="-2"/>
          <w:sz w:val="22"/>
          <w:szCs w:val="22"/>
        </w:rPr>
      </w:pPr>
      <w:r w:rsidRPr="000634A4">
        <w:rPr>
          <w:sz w:val="22"/>
          <w:szCs w:val="22"/>
        </w:rPr>
        <w:t xml:space="preserve">Revenues from the DDS segment were </w:t>
      </w:r>
      <w:r w:rsidR="00C35EBA" w:rsidRPr="000634A4">
        <w:rPr>
          <w:sz w:val="22"/>
          <w:szCs w:val="22"/>
        </w:rPr>
        <w:t>$</w:t>
      </w:r>
      <w:r w:rsidR="009D3F26" w:rsidRPr="000634A4">
        <w:rPr>
          <w:sz w:val="22"/>
          <w:szCs w:val="22"/>
        </w:rPr>
        <w:t xml:space="preserve">56.5 </w:t>
      </w:r>
      <w:r w:rsidRPr="000634A4">
        <w:rPr>
          <w:sz w:val="22"/>
          <w:szCs w:val="22"/>
        </w:rPr>
        <w:t>million and $</w:t>
      </w:r>
      <w:r w:rsidR="000D338F" w:rsidRPr="000634A4">
        <w:rPr>
          <w:sz w:val="22"/>
          <w:szCs w:val="22"/>
        </w:rPr>
        <w:t>52.6</w:t>
      </w:r>
      <w:r w:rsidRPr="000634A4">
        <w:rPr>
          <w:sz w:val="22"/>
          <w:szCs w:val="22"/>
        </w:rPr>
        <w:t xml:space="preserve"> million for the years ended December 31, </w:t>
      </w:r>
      <w:r w:rsidR="000D338F" w:rsidRPr="000634A4">
        <w:rPr>
          <w:sz w:val="22"/>
          <w:szCs w:val="22"/>
        </w:rPr>
        <w:t xml:space="preserve">2022 </w:t>
      </w:r>
      <w:r w:rsidRPr="000634A4">
        <w:rPr>
          <w:sz w:val="22"/>
          <w:szCs w:val="22"/>
        </w:rPr>
        <w:t xml:space="preserve">and </w:t>
      </w:r>
      <w:r w:rsidR="000D338F" w:rsidRPr="000634A4">
        <w:rPr>
          <w:sz w:val="22"/>
          <w:szCs w:val="22"/>
        </w:rPr>
        <w:t>2021</w:t>
      </w:r>
      <w:r w:rsidRPr="000634A4">
        <w:rPr>
          <w:sz w:val="22"/>
          <w:szCs w:val="22"/>
        </w:rPr>
        <w:t>, respectively, an increase of $</w:t>
      </w:r>
      <w:r w:rsidR="000F3628" w:rsidRPr="000634A4">
        <w:rPr>
          <w:sz w:val="22"/>
          <w:szCs w:val="22"/>
        </w:rPr>
        <w:t xml:space="preserve">3.9 </w:t>
      </w:r>
      <w:r w:rsidRPr="000634A4">
        <w:rPr>
          <w:sz w:val="22"/>
          <w:szCs w:val="22"/>
        </w:rPr>
        <w:t>million or approximately</w:t>
      </w:r>
      <w:r w:rsidR="007A4AD0" w:rsidRPr="000634A4">
        <w:rPr>
          <w:sz w:val="22"/>
          <w:szCs w:val="22"/>
        </w:rPr>
        <w:t xml:space="preserve"> </w:t>
      </w:r>
      <w:r w:rsidR="004553A0" w:rsidRPr="000634A4">
        <w:rPr>
          <w:sz w:val="22"/>
          <w:szCs w:val="22"/>
        </w:rPr>
        <w:t>8</w:t>
      </w:r>
      <w:r w:rsidR="00C35EBA" w:rsidRPr="000634A4">
        <w:rPr>
          <w:sz w:val="22"/>
          <w:szCs w:val="22"/>
        </w:rPr>
        <w:t>%.</w:t>
      </w:r>
      <w:r w:rsidR="00456F1A" w:rsidRPr="000634A4">
        <w:rPr>
          <w:sz w:val="22"/>
          <w:szCs w:val="22"/>
        </w:rPr>
        <w:t xml:space="preserve"> </w:t>
      </w:r>
      <w:r w:rsidRPr="000634A4">
        <w:rPr>
          <w:spacing w:val="-2"/>
          <w:sz w:val="22"/>
          <w:szCs w:val="22"/>
        </w:rPr>
        <w:t xml:space="preserve">The </w:t>
      </w:r>
      <w:r w:rsidR="00FE1C5D" w:rsidRPr="000634A4">
        <w:rPr>
          <w:spacing w:val="-2"/>
          <w:sz w:val="22"/>
          <w:szCs w:val="22"/>
        </w:rPr>
        <w:t xml:space="preserve">net </w:t>
      </w:r>
      <w:r w:rsidRPr="000634A4">
        <w:rPr>
          <w:spacing w:val="-2"/>
          <w:sz w:val="22"/>
          <w:szCs w:val="22"/>
        </w:rPr>
        <w:t xml:space="preserve">increase was due to higher volume from </w:t>
      </w:r>
      <w:r w:rsidR="00292651" w:rsidRPr="000634A4">
        <w:rPr>
          <w:spacing w:val="-2"/>
          <w:sz w:val="22"/>
          <w:szCs w:val="22"/>
        </w:rPr>
        <w:t xml:space="preserve">two </w:t>
      </w:r>
      <w:r w:rsidR="00EF1BEC" w:rsidRPr="000634A4">
        <w:rPr>
          <w:spacing w:val="-2"/>
          <w:sz w:val="22"/>
          <w:szCs w:val="22"/>
        </w:rPr>
        <w:t>customers</w:t>
      </w:r>
      <w:r w:rsidRPr="000634A4">
        <w:rPr>
          <w:spacing w:val="-2"/>
          <w:sz w:val="22"/>
          <w:szCs w:val="22"/>
        </w:rPr>
        <w:t xml:space="preserve">, partially offset by lower volume from </w:t>
      </w:r>
      <w:r w:rsidR="00A06AD7" w:rsidRPr="000634A4">
        <w:rPr>
          <w:spacing w:val="-2"/>
          <w:sz w:val="22"/>
          <w:szCs w:val="22"/>
        </w:rPr>
        <w:t xml:space="preserve">several </w:t>
      </w:r>
      <w:r w:rsidR="00EF1BEC" w:rsidRPr="000634A4">
        <w:rPr>
          <w:spacing w:val="-2"/>
          <w:sz w:val="22"/>
          <w:szCs w:val="22"/>
        </w:rPr>
        <w:t>customers</w:t>
      </w:r>
      <w:r w:rsidRPr="000634A4">
        <w:rPr>
          <w:spacing w:val="-2"/>
          <w:sz w:val="22"/>
          <w:szCs w:val="22"/>
        </w:rPr>
        <w:t>.</w:t>
      </w:r>
    </w:p>
    <w:p w14:paraId="5B8C82CC" w14:textId="77777777" w:rsidR="009F5AAB" w:rsidRPr="000634A4" w:rsidRDefault="009F5AAB" w:rsidP="009F5AAB">
      <w:pPr>
        <w:ind w:firstLine="720"/>
        <w:jc w:val="both"/>
        <w:rPr>
          <w:sz w:val="22"/>
          <w:szCs w:val="22"/>
        </w:rPr>
      </w:pPr>
    </w:p>
    <w:p w14:paraId="0A3E8942" w14:textId="38FA8C9E" w:rsidR="009F5AAB" w:rsidRPr="000634A4" w:rsidRDefault="009F5AAB" w:rsidP="009F5AAB">
      <w:pPr>
        <w:ind w:firstLine="720"/>
        <w:jc w:val="both"/>
        <w:rPr>
          <w:sz w:val="22"/>
          <w:szCs w:val="22"/>
        </w:rPr>
      </w:pPr>
      <w:r w:rsidRPr="000634A4">
        <w:rPr>
          <w:sz w:val="22"/>
          <w:szCs w:val="22"/>
        </w:rPr>
        <w:t xml:space="preserve">Revenues from the Synodex segment were </w:t>
      </w:r>
      <w:r w:rsidR="00C35EBA" w:rsidRPr="000634A4">
        <w:rPr>
          <w:sz w:val="22"/>
          <w:szCs w:val="22"/>
        </w:rPr>
        <w:t>$</w:t>
      </w:r>
      <w:r w:rsidR="000F3628" w:rsidRPr="000634A4">
        <w:rPr>
          <w:sz w:val="22"/>
          <w:szCs w:val="22"/>
        </w:rPr>
        <w:t xml:space="preserve">7.1 </w:t>
      </w:r>
      <w:r w:rsidRPr="000634A4">
        <w:rPr>
          <w:sz w:val="22"/>
          <w:szCs w:val="22"/>
        </w:rPr>
        <w:t>million and $</w:t>
      </w:r>
      <w:r w:rsidR="000D338F" w:rsidRPr="000634A4">
        <w:rPr>
          <w:sz w:val="22"/>
          <w:szCs w:val="22"/>
        </w:rPr>
        <w:t>4.2</w:t>
      </w:r>
      <w:r w:rsidRPr="000634A4">
        <w:rPr>
          <w:sz w:val="22"/>
          <w:szCs w:val="22"/>
        </w:rPr>
        <w:t xml:space="preserve"> million for the years ended December 31, </w:t>
      </w:r>
      <w:r w:rsidR="000D338F" w:rsidRPr="000634A4">
        <w:rPr>
          <w:sz w:val="22"/>
          <w:szCs w:val="22"/>
        </w:rPr>
        <w:t xml:space="preserve">2022 </w:t>
      </w:r>
      <w:r w:rsidRPr="000634A4">
        <w:rPr>
          <w:sz w:val="22"/>
          <w:szCs w:val="22"/>
        </w:rPr>
        <w:t xml:space="preserve">and </w:t>
      </w:r>
      <w:r w:rsidR="000D338F" w:rsidRPr="000634A4">
        <w:rPr>
          <w:sz w:val="22"/>
          <w:szCs w:val="22"/>
        </w:rPr>
        <w:t>2021</w:t>
      </w:r>
      <w:r w:rsidRPr="000634A4">
        <w:rPr>
          <w:sz w:val="22"/>
          <w:szCs w:val="22"/>
        </w:rPr>
        <w:t>, respectively, a</w:t>
      </w:r>
      <w:r w:rsidR="00677BBA" w:rsidRPr="000634A4">
        <w:rPr>
          <w:sz w:val="22"/>
          <w:szCs w:val="22"/>
        </w:rPr>
        <w:t>n</w:t>
      </w:r>
      <w:r w:rsidRPr="000634A4">
        <w:rPr>
          <w:sz w:val="22"/>
          <w:szCs w:val="22"/>
        </w:rPr>
        <w:t xml:space="preserve"> </w:t>
      </w:r>
      <w:r w:rsidR="00677BBA" w:rsidRPr="000634A4">
        <w:rPr>
          <w:sz w:val="22"/>
          <w:szCs w:val="22"/>
        </w:rPr>
        <w:t xml:space="preserve">increase </w:t>
      </w:r>
      <w:r w:rsidRPr="000634A4">
        <w:rPr>
          <w:sz w:val="22"/>
          <w:szCs w:val="22"/>
        </w:rPr>
        <w:t>of</w:t>
      </w:r>
      <w:r w:rsidR="00204E26" w:rsidRPr="000634A4">
        <w:rPr>
          <w:sz w:val="22"/>
          <w:szCs w:val="22"/>
        </w:rPr>
        <w:t xml:space="preserve"> $</w:t>
      </w:r>
      <w:r w:rsidR="000F3628" w:rsidRPr="000634A4">
        <w:rPr>
          <w:sz w:val="22"/>
          <w:szCs w:val="22"/>
        </w:rPr>
        <w:t xml:space="preserve">2.9 </w:t>
      </w:r>
      <w:r w:rsidRPr="000634A4">
        <w:rPr>
          <w:sz w:val="22"/>
          <w:szCs w:val="22"/>
        </w:rPr>
        <w:t>million or approximately</w:t>
      </w:r>
      <w:r w:rsidR="000D338F" w:rsidRPr="000634A4">
        <w:rPr>
          <w:sz w:val="22"/>
          <w:szCs w:val="22"/>
        </w:rPr>
        <w:t xml:space="preserve"> </w:t>
      </w:r>
      <w:r w:rsidR="004553A0" w:rsidRPr="000634A4">
        <w:rPr>
          <w:sz w:val="22"/>
          <w:szCs w:val="22"/>
        </w:rPr>
        <w:t>71</w:t>
      </w:r>
      <w:r w:rsidR="00C35EBA" w:rsidRPr="000634A4">
        <w:rPr>
          <w:sz w:val="22"/>
          <w:szCs w:val="22"/>
        </w:rPr>
        <w:t xml:space="preserve">%. </w:t>
      </w:r>
      <w:r w:rsidRPr="000634A4">
        <w:rPr>
          <w:sz w:val="22"/>
          <w:szCs w:val="22"/>
        </w:rPr>
        <w:t xml:space="preserve">The </w:t>
      </w:r>
      <w:r w:rsidR="008E4959" w:rsidRPr="000634A4">
        <w:rPr>
          <w:sz w:val="22"/>
          <w:szCs w:val="22"/>
        </w:rPr>
        <w:t xml:space="preserve">increase </w:t>
      </w:r>
      <w:r w:rsidRPr="000634A4">
        <w:rPr>
          <w:sz w:val="22"/>
          <w:szCs w:val="22"/>
        </w:rPr>
        <w:t xml:space="preserve">was primarily due to </w:t>
      </w:r>
      <w:r w:rsidR="008E4959" w:rsidRPr="000634A4">
        <w:rPr>
          <w:sz w:val="22"/>
          <w:szCs w:val="22"/>
        </w:rPr>
        <w:t xml:space="preserve">higher </w:t>
      </w:r>
      <w:r w:rsidRPr="000634A4">
        <w:rPr>
          <w:sz w:val="22"/>
          <w:szCs w:val="22"/>
        </w:rPr>
        <w:t xml:space="preserve">volume from </w:t>
      </w:r>
      <w:r w:rsidR="00677BBA" w:rsidRPr="000634A4">
        <w:rPr>
          <w:sz w:val="22"/>
          <w:szCs w:val="22"/>
        </w:rPr>
        <w:t>three</w:t>
      </w:r>
      <w:r w:rsidR="008E4959" w:rsidRPr="000634A4">
        <w:rPr>
          <w:sz w:val="22"/>
          <w:szCs w:val="22"/>
        </w:rPr>
        <w:t xml:space="preserve"> </w:t>
      </w:r>
      <w:r w:rsidR="00EF1BEC" w:rsidRPr="000634A4">
        <w:rPr>
          <w:sz w:val="22"/>
          <w:szCs w:val="22"/>
        </w:rPr>
        <w:t>customers</w:t>
      </w:r>
      <w:r w:rsidR="005F6FCE" w:rsidRPr="000634A4">
        <w:rPr>
          <w:sz w:val="22"/>
          <w:szCs w:val="22"/>
        </w:rPr>
        <w:t>.</w:t>
      </w:r>
    </w:p>
    <w:p w14:paraId="3214D5BE" w14:textId="77777777" w:rsidR="005F6FCE" w:rsidRPr="000634A4" w:rsidRDefault="005F6FCE" w:rsidP="009F5AAB">
      <w:pPr>
        <w:ind w:firstLine="720"/>
        <w:jc w:val="both"/>
        <w:rPr>
          <w:sz w:val="22"/>
          <w:szCs w:val="22"/>
        </w:rPr>
      </w:pPr>
    </w:p>
    <w:p w14:paraId="643D6063" w14:textId="77777777" w:rsidR="00F37032" w:rsidRPr="000634A4" w:rsidRDefault="009F5AAB" w:rsidP="00F37032">
      <w:pPr>
        <w:ind w:firstLine="720"/>
        <w:jc w:val="both"/>
        <w:rPr>
          <w:spacing w:val="-2"/>
          <w:sz w:val="22"/>
          <w:szCs w:val="22"/>
        </w:rPr>
      </w:pPr>
      <w:r w:rsidRPr="000634A4">
        <w:rPr>
          <w:sz w:val="22"/>
          <w:szCs w:val="22"/>
        </w:rPr>
        <w:t xml:space="preserve">Revenues from the Agility segment were </w:t>
      </w:r>
      <w:r w:rsidR="00C35EBA" w:rsidRPr="000634A4">
        <w:rPr>
          <w:sz w:val="22"/>
          <w:szCs w:val="22"/>
        </w:rPr>
        <w:t>$</w:t>
      </w:r>
      <w:r w:rsidR="00E90BCB" w:rsidRPr="000634A4">
        <w:rPr>
          <w:sz w:val="22"/>
          <w:szCs w:val="22"/>
        </w:rPr>
        <w:t xml:space="preserve">15.4 </w:t>
      </w:r>
      <w:r w:rsidRPr="000634A4">
        <w:rPr>
          <w:sz w:val="22"/>
          <w:szCs w:val="22"/>
        </w:rPr>
        <w:t>million and $</w:t>
      </w:r>
      <w:r w:rsidR="000D338F" w:rsidRPr="000634A4">
        <w:rPr>
          <w:sz w:val="22"/>
          <w:szCs w:val="22"/>
        </w:rPr>
        <w:t>13.0</w:t>
      </w:r>
      <w:r w:rsidRPr="000634A4">
        <w:rPr>
          <w:sz w:val="22"/>
          <w:szCs w:val="22"/>
        </w:rPr>
        <w:t xml:space="preserve"> million for the year ended December 31, </w:t>
      </w:r>
      <w:r w:rsidR="000D338F" w:rsidRPr="000634A4">
        <w:rPr>
          <w:sz w:val="22"/>
          <w:szCs w:val="22"/>
        </w:rPr>
        <w:t xml:space="preserve">2022 </w:t>
      </w:r>
      <w:r w:rsidRPr="000634A4">
        <w:rPr>
          <w:sz w:val="22"/>
          <w:szCs w:val="22"/>
        </w:rPr>
        <w:t xml:space="preserve">and </w:t>
      </w:r>
      <w:r w:rsidR="000D338F" w:rsidRPr="000634A4">
        <w:rPr>
          <w:sz w:val="22"/>
          <w:szCs w:val="22"/>
        </w:rPr>
        <w:t xml:space="preserve">2021 </w:t>
      </w:r>
      <w:r w:rsidRPr="000634A4">
        <w:rPr>
          <w:sz w:val="22"/>
          <w:szCs w:val="22"/>
        </w:rPr>
        <w:t>respectively, an increase of $</w:t>
      </w:r>
      <w:r w:rsidR="00E90BCB" w:rsidRPr="000634A4">
        <w:rPr>
          <w:sz w:val="22"/>
          <w:szCs w:val="22"/>
        </w:rPr>
        <w:t xml:space="preserve">2.4 </w:t>
      </w:r>
      <w:r w:rsidRPr="000634A4">
        <w:rPr>
          <w:sz w:val="22"/>
          <w:szCs w:val="22"/>
        </w:rPr>
        <w:t xml:space="preserve">million or approximately </w:t>
      </w:r>
      <w:r w:rsidR="00E90BCB" w:rsidRPr="000634A4">
        <w:rPr>
          <w:sz w:val="22"/>
          <w:szCs w:val="22"/>
        </w:rPr>
        <w:t>18</w:t>
      </w:r>
      <w:r w:rsidR="007B365D" w:rsidRPr="000634A4">
        <w:rPr>
          <w:sz w:val="22"/>
          <w:szCs w:val="22"/>
        </w:rPr>
        <w:t>%.</w:t>
      </w:r>
      <w:r w:rsidR="005A0CD6" w:rsidRPr="000634A4">
        <w:rPr>
          <w:sz w:val="22"/>
          <w:szCs w:val="22"/>
        </w:rPr>
        <w:t xml:space="preserve"> </w:t>
      </w:r>
      <w:r w:rsidRPr="000634A4">
        <w:rPr>
          <w:spacing w:val="-2"/>
          <w:sz w:val="22"/>
          <w:szCs w:val="22"/>
        </w:rPr>
        <w:t xml:space="preserve">The increase was attributable to higher </w:t>
      </w:r>
      <w:r w:rsidR="00F37032" w:rsidRPr="000634A4">
        <w:rPr>
          <w:spacing w:val="-2"/>
          <w:sz w:val="22"/>
          <w:szCs w:val="22"/>
        </w:rPr>
        <w:t>volumes from subscriptions to our Agility AI-enabled industry platform and newswire product.</w:t>
      </w:r>
    </w:p>
    <w:p w14:paraId="3BEFC94F" w14:textId="77777777" w:rsidR="009F5AAB" w:rsidRPr="000634A4" w:rsidRDefault="009F5AAB" w:rsidP="00E62215">
      <w:pPr>
        <w:ind w:firstLine="720"/>
        <w:jc w:val="both"/>
        <w:rPr>
          <w:sz w:val="22"/>
          <w:szCs w:val="22"/>
        </w:rPr>
      </w:pPr>
    </w:p>
    <w:p w14:paraId="6D87150F" w14:textId="7A9515F9" w:rsidR="00CA038A" w:rsidRPr="000634A4" w:rsidRDefault="009F5AAB" w:rsidP="00CA038A">
      <w:pPr>
        <w:tabs>
          <w:tab w:val="left" w:pos="-720"/>
          <w:tab w:val="left" w:pos="720"/>
        </w:tabs>
        <w:suppressAutoHyphens/>
        <w:spacing w:line="240" w:lineRule="atLeast"/>
        <w:jc w:val="both"/>
        <w:rPr>
          <w:spacing w:val="-2"/>
          <w:sz w:val="22"/>
          <w:szCs w:val="22"/>
        </w:rPr>
      </w:pPr>
      <w:r w:rsidRPr="000634A4">
        <w:rPr>
          <w:bCs/>
          <w:spacing w:val="-2"/>
          <w:sz w:val="22"/>
          <w:szCs w:val="22"/>
        </w:rPr>
        <w:tab/>
      </w:r>
      <w:r w:rsidR="00CA038A" w:rsidRPr="000634A4">
        <w:rPr>
          <w:spacing w:val="-2"/>
          <w:sz w:val="22"/>
          <w:szCs w:val="22"/>
        </w:rPr>
        <w:t>One customer in the DDS segment generated approximately 11% of the Company’s total revenues in the fiscal year ended December 31, 2022. Another customer in the DDS segment generated approximately 11% of the Company’s total revenues in the fiscal year ended December 31, 2021. No other customer accounted for 10% or more of total revenues during these periods. Further, in the years ended December 31, 2022 and 2021, revenues from non-U.S. customers accounted for 38% and 45%, respectively, of the Company's revenues.</w:t>
      </w:r>
    </w:p>
    <w:p w14:paraId="2C982D26" w14:textId="77777777" w:rsidR="009F5AAB" w:rsidRPr="000634A4" w:rsidRDefault="009F5AAB" w:rsidP="009F5AAB">
      <w:pPr>
        <w:ind w:firstLine="720"/>
        <w:jc w:val="both"/>
        <w:rPr>
          <w:sz w:val="22"/>
          <w:szCs w:val="22"/>
        </w:rPr>
      </w:pPr>
    </w:p>
    <w:p w14:paraId="6508D7C1" w14:textId="77777777" w:rsidR="009F5AAB" w:rsidRPr="000634A4" w:rsidRDefault="009F5AAB" w:rsidP="009F5AAB">
      <w:pPr>
        <w:jc w:val="both"/>
        <w:rPr>
          <w:i/>
          <w:iCs/>
          <w:sz w:val="22"/>
          <w:szCs w:val="22"/>
        </w:rPr>
      </w:pPr>
      <w:r w:rsidRPr="000634A4">
        <w:rPr>
          <w:i/>
          <w:iCs/>
          <w:sz w:val="22"/>
          <w:szCs w:val="22"/>
        </w:rPr>
        <w:t>Direct Operating Costs</w:t>
      </w:r>
    </w:p>
    <w:p w14:paraId="1F49F5DC" w14:textId="77777777" w:rsidR="009F5AAB" w:rsidRPr="000634A4" w:rsidRDefault="009F5AAB" w:rsidP="009F5AAB">
      <w:pPr>
        <w:jc w:val="both"/>
        <w:rPr>
          <w:sz w:val="22"/>
          <w:szCs w:val="22"/>
        </w:rPr>
      </w:pPr>
      <w:r w:rsidRPr="000634A4">
        <w:rPr>
          <w:sz w:val="22"/>
          <w:szCs w:val="22"/>
        </w:rPr>
        <w:t> </w:t>
      </w:r>
    </w:p>
    <w:p w14:paraId="7DA73316" w14:textId="6965502C" w:rsidR="000235CB" w:rsidRPr="000634A4" w:rsidRDefault="001963C2" w:rsidP="000235CB">
      <w:pPr>
        <w:ind w:firstLine="720"/>
        <w:jc w:val="both"/>
        <w:rPr>
          <w:spacing w:val="-2"/>
          <w:sz w:val="22"/>
          <w:szCs w:val="22"/>
        </w:rPr>
      </w:pPr>
      <w:r w:rsidRPr="000634A4">
        <w:rPr>
          <w:spacing w:val="-2"/>
          <w:sz w:val="22"/>
          <w:szCs w:val="22"/>
        </w:rPr>
        <w:t>Direct operating costs consist of direct and indirect labor costs, occupancy costs, data center hosting fees, cloud services, content acquisition costs, depreciation and amortization, travel, telecommunications, computer services and supplies, realized gain (loss) on forward contracts, foreign currency revaluation gain (loss), and other direct expenses that are incurred in providing services to our customers.</w:t>
      </w:r>
      <w:r w:rsidR="009F5AAB" w:rsidRPr="000634A4">
        <w:rPr>
          <w:spacing w:val="-2"/>
          <w:sz w:val="22"/>
          <w:szCs w:val="22"/>
        </w:rPr>
        <w:t xml:space="preserve">  </w:t>
      </w:r>
    </w:p>
    <w:p w14:paraId="3AB3B7F3" w14:textId="77777777" w:rsidR="009F5AAB" w:rsidRPr="000634A4" w:rsidRDefault="009F5AAB" w:rsidP="009F5AAB">
      <w:pPr>
        <w:jc w:val="both"/>
        <w:rPr>
          <w:sz w:val="22"/>
          <w:szCs w:val="22"/>
        </w:rPr>
      </w:pPr>
      <w:bookmarkStart w:id="22" w:name="_Hlk93426163"/>
    </w:p>
    <w:p w14:paraId="1C7D0C41" w14:textId="65746056" w:rsidR="00BD49EC" w:rsidRPr="000634A4" w:rsidRDefault="00BD49EC" w:rsidP="00BD49EC">
      <w:pPr>
        <w:ind w:firstLine="720"/>
        <w:jc w:val="both"/>
        <w:rPr>
          <w:spacing w:val="-2"/>
          <w:sz w:val="22"/>
          <w:szCs w:val="22"/>
        </w:rPr>
      </w:pPr>
      <w:r w:rsidRPr="000634A4">
        <w:rPr>
          <w:sz w:val="22"/>
          <w:szCs w:val="22"/>
        </w:rPr>
        <w:t>Direct operating costs were $</w:t>
      </w:r>
      <w:r w:rsidR="00DE75FD" w:rsidRPr="000634A4">
        <w:rPr>
          <w:sz w:val="22"/>
          <w:szCs w:val="22"/>
        </w:rPr>
        <w:t xml:space="preserve">51.5 </w:t>
      </w:r>
      <w:r w:rsidRPr="000634A4">
        <w:rPr>
          <w:sz w:val="22"/>
          <w:szCs w:val="22"/>
        </w:rPr>
        <w:t>million and $</w:t>
      </w:r>
      <w:r w:rsidR="00D64468" w:rsidRPr="000634A4">
        <w:rPr>
          <w:sz w:val="22"/>
          <w:szCs w:val="22"/>
        </w:rPr>
        <w:t>43.5</w:t>
      </w:r>
      <w:r w:rsidRPr="000634A4">
        <w:rPr>
          <w:sz w:val="22"/>
          <w:szCs w:val="22"/>
        </w:rPr>
        <w:t xml:space="preserve"> million for the years ended December </w:t>
      </w:r>
      <w:r w:rsidR="00D64468" w:rsidRPr="000634A4">
        <w:rPr>
          <w:sz w:val="22"/>
          <w:szCs w:val="22"/>
        </w:rPr>
        <w:t>31</w:t>
      </w:r>
      <w:r w:rsidRPr="000634A4">
        <w:rPr>
          <w:sz w:val="22"/>
          <w:szCs w:val="22"/>
        </w:rPr>
        <w:t xml:space="preserve">, </w:t>
      </w:r>
      <w:r w:rsidR="00D64468" w:rsidRPr="000634A4">
        <w:rPr>
          <w:sz w:val="22"/>
          <w:szCs w:val="22"/>
        </w:rPr>
        <w:t xml:space="preserve">2022 </w:t>
      </w:r>
      <w:r w:rsidRPr="000634A4">
        <w:rPr>
          <w:sz w:val="22"/>
          <w:szCs w:val="22"/>
        </w:rPr>
        <w:t xml:space="preserve">and </w:t>
      </w:r>
      <w:r w:rsidR="00D64468" w:rsidRPr="000634A4">
        <w:rPr>
          <w:sz w:val="22"/>
          <w:szCs w:val="22"/>
        </w:rPr>
        <w:t>2021</w:t>
      </w:r>
      <w:r w:rsidRPr="000634A4">
        <w:rPr>
          <w:sz w:val="22"/>
          <w:szCs w:val="22"/>
        </w:rPr>
        <w:t>, respectively, an increase of $</w:t>
      </w:r>
      <w:r w:rsidR="00DE75FD" w:rsidRPr="000634A4">
        <w:rPr>
          <w:sz w:val="22"/>
          <w:szCs w:val="22"/>
        </w:rPr>
        <w:t xml:space="preserve">8.0 </w:t>
      </w:r>
      <w:r w:rsidRPr="000634A4">
        <w:rPr>
          <w:sz w:val="22"/>
          <w:szCs w:val="22"/>
        </w:rPr>
        <w:t xml:space="preserve">million or approximately </w:t>
      </w:r>
      <w:r w:rsidR="0031388A" w:rsidRPr="000634A4">
        <w:rPr>
          <w:sz w:val="22"/>
          <w:szCs w:val="22"/>
        </w:rPr>
        <w:t>18</w:t>
      </w:r>
      <w:r w:rsidRPr="000634A4">
        <w:rPr>
          <w:sz w:val="22"/>
          <w:szCs w:val="22"/>
        </w:rPr>
        <w:t>%.</w:t>
      </w:r>
      <w:r w:rsidRPr="000634A4">
        <w:rPr>
          <w:spacing w:val="-2"/>
          <w:sz w:val="22"/>
          <w:szCs w:val="22"/>
        </w:rPr>
        <w:t xml:space="preserve"> </w:t>
      </w:r>
      <w:bookmarkStart w:id="23" w:name="_Hlk93426969"/>
      <w:r w:rsidRPr="000634A4">
        <w:rPr>
          <w:spacing w:val="-2"/>
          <w:sz w:val="22"/>
          <w:szCs w:val="22"/>
        </w:rPr>
        <w:t>These cost increases primarily supported our growth initiatives.</w:t>
      </w:r>
      <w:r w:rsidR="0031388A" w:rsidRPr="000634A4">
        <w:rPr>
          <w:spacing w:val="-2"/>
          <w:sz w:val="22"/>
          <w:szCs w:val="22"/>
        </w:rPr>
        <w:t xml:space="preserve"> </w:t>
      </w:r>
      <w:r w:rsidR="008E2FC1" w:rsidRPr="000634A4">
        <w:rPr>
          <w:spacing w:val="-2"/>
          <w:sz w:val="22"/>
          <w:szCs w:val="22"/>
        </w:rPr>
        <w:t>The increase in Direct operating costs includes direct and indirect labor related costs primarily on account of higher headcount and salary increases of $5.6 million; depreciation and amortization of capitalized developed software of $1.</w:t>
      </w:r>
      <w:r w:rsidR="007E45BF" w:rsidRPr="000634A4">
        <w:rPr>
          <w:spacing w:val="-2"/>
          <w:sz w:val="22"/>
          <w:szCs w:val="22"/>
        </w:rPr>
        <w:t xml:space="preserve">0 </w:t>
      </w:r>
      <w:r w:rsidR="008E2FC1" w:rsidRPr="000634A4">
        <w:rPr>
          <w:spacing w:val="-2"/>
          <w:sz w:val="22"/>
          <w:szCs w:val="22"/>
        </w:rPr>
        <w:t>million;</w:t>
      </w:r>
      <w:r w:rsidR="00A55FD1" w:rsidRPr="000634A4">
        <w:rPr>
          <w:spacing w:val="-2"/>
          <w:sz w:val="22"/>
          <w:szCs w:val="22"/>
        </w:rPr>
        <w:t xml:space="preserve"> cloud services</w:t>
      </w:r>
      <w:r w:rsidR="007E45BF" w:rsidRPr="000634A4">
        <w:rPr>
          <w:spacing w:val="-2"/>
          <w:sz w:val="22"/>
          <w:szCs w:val="22"/>
        </w:rPr>
        <w:t xml:space="preserve"> of $0.4 million</w:t>
      </w:r>
      <w:r w:rsidR="00A55FD1" w:rsidRPr="000634A4">
        <w:rPr>
          <w:spacing w:val="-2"/>
          <w:sz w:val="22"/>
          <w:szCs w:val="22"/>
        </w:rPr>
        <w:t>,</w:t>
      </w:r>
      <w:r w:rsidR="00584928" w:rsidRPr="000634A4">
        <w:rPr>
          <w:spacing w:val="-2"/>
          <w:sz w:val="22"/>
          <w:szCs w:val="22"/>
        </w:rPr>
        <w:t xml:space="preserve"> </w:t>
      </w:r>
      <w:r w:rsidR="00A55FD1" w:rsidRPr="000634A4">
        <w:rPr>
          <w:spacing w:val="-2"/>
          <w:sz w:val="22"/>
          <w:szCs w:val="22"/>
        </w:rPr>
        <w:t>content costs</w:t>
      </w:r>
      <w:r w:rsidR="00E153C4" w:rsidRPr="000634A4">
        <w:rPr>
          <w:spacing w:val="-2"/>
          <w:sz w:val="22"/>
          <w:szCs w:val="22"/>
        </w:rPr>
        <w:t xml:space="preserve"> of $0.3 million</w:t>
      </w:r>
      <w:r w:rsidR="00A55FD1" w:rsidRPr="000634A4">
        <w:rPr>
          <w:spacing w:val="-2"/>
          <w:sz w:val="22"/>
          <w:szCs w:val="22"/>
        </w:rPr>
        <w:t>,</w:t>
      </w:r>
      <w:r w:rsidR="008E2FC1" w:rsidRPr="000634A4">
        <w:rPr>
          <w:spacing w:val="-2"/>
          <w:sz w:val="22"/>
          <w:szCs w:val="22"/>
        </w:rPr>
        <w:t xml:space="preserve"> severance cost of $0.</w:t>
      </w:r>
      <w:r w:rsidR="00A61489" w:rsidRPr="000634A4">
        <w:rPr>
          <w:spacing w:val="-2"/>
          <w:sz w:val="22"/>
          <w:szCs w:val="22"/>
        </w:rPr>
        <w:t>3</w:t>
      </w:r>
      <w:r w:rsidR="008E2FC1" w:rsidRPr="000634A4">
        <w:rPr>
          <w:spacing w:val="-2"/>
          <w:sz w:val="22"/>
          <w:szCs w:val="22"/>
        </w:rPr>
        <w:t xml:space="preserve"> million, </w:t>
      </w:r>
      <w:r w:rsidR="00861D67" w:rsidRPr="000634A4">
        <w:rPr>
          <w:color w:val="0E101A"/>
          <w:sz w:val="22"/>
          <w:szCs w:val="22"/>
        </w:rPr>
        <w:t>an unfavorable</w:t>
      </w:r>
      <w:r w:rsidR="00861D67" w:rsidRPr="000634A4">
        <w:rPr>
          <w:spacing w:val="-2"/>
          <w:sz w:val="22"/>
          <w:szCs w:val="22"/>
        </w:rPr>
        <w:t xml:space="preserve"> impact of foreign exchange rate fluctuations of $0.3 million</w:t>
      </w:r>
      <w:r w:rsidR="006368F7" w:rsidRPr="000634A4">
        <w:rPr>
          <w:spacing w:val="-2"/>
          <w:sz w:val="22"/>
          <w:szCs w:val="22"/>
        </w:rPr>
        <w:t xml:space="preserve"> </w:t>
      </w:r>
      <w:r w:rsidR="008E2FC1" w:rsidRPr="000634A4">
        <w:rPr>
          <w:spacing w:val="-2"/>
          <w:sz w:val="22"/>
          <w:szCs w:val="22"/>
        </w:rPr>
        <w:t>and other direct operating costs of $0.</w:t>
      </w:r>
      <w:r w:rsidR="00E33BD9" w:rsidRPr="000634A4">
        <w:rPr>
          <w:spacing w:val="-2"/>
          <w:sz w:val="22"/>
          <w:szCs w:val="22"/>
        </w:rPr>
        <w:t>1</w:t>
      </w:r>
      <w:r w:rsidR="008E2FC1" w:rsidRPr="000634A4">
        <w:rPr>
          <w:spacing w:val="-2"/>
          <w:sz w:val="22"/>
          <w:szCs w:val="22"/>
        </w:rPr>
        <w:t xml:space="preserve"> million.</w:t>
      </w:r>
      <w:bookmarkEnd w:id="22"/>
      <w:r w:rsidR="009F5AAB" w:rsidRPr="000634A4">
        <w:rPr>
          <w:spacing w:val="-2"/>
          <w:sz w:val="22"/>
          <w:szCs w:val="22"/>
        </w:rPr>
        <w:t xml:space="preserve"> Direct operating costs as percentage of total revenues were</w:t>
      </w:r>
      <w:r w:rsidR="006C555C" w:rsidRPr="000634A4">
        <w:rPr>
          <w:spacing w:val="-2"/>
          <w:sz w:val="22"/>
          <w:szCs w:val="22"/>
        </w:rPr>
        <w:t xml:space="preserve"> approximately </w:t>
      </w:r>
      <w:r w:rsidR="0031388A" w:rsidRPr="000634A4">
        <w:rPr>
          <w:spacing w:val="-2"/>
          <w:sz w:val="22"/>
          <w:szCs w:val="22"/>
        </w:rPr>
        <w:t>65</w:t>
      </w:r>
      <w:r w:rsidR="007B365D" w:rsidRPr="000634A4">
        <w:rPr>
          <w:spacing w:val="-2"/>
          <w:sz w:val="22"/>
          <w:szCs w:val="22"/>
        </w:rPr>
        <w:t xml:space="preserve">% </w:t>
      </w:r>
      <w:r w:rsidR="009F5AAB" w:rsidRPr="000634A4">
        <w:rPr>
          <w:spacing w:val="-2"/>
          <w:sz w:val="22"/>
          <w:szCs w:val="22"/>
        </w:rPr>
        <w:t xml:space="preserve">and </w:t>
      </w:r>
      <w:r w:rsidR="009E6EC8" w:rsidRPr="000634A4">
        <w:rPr>
          <w:spacing w:val="-2"/>
          <w:sz w:val="22"/>
          <w:szCs w:val="22"/>
        </w:rPr>
        <w:t>62</w:t>
      </w:r>
      <w:r w:rsidR="009F5AAB" w:rsidRPr="000634A4">
        <w:rPr>
          <w:spacing w:val="-2"/>
          <w:sz w:val="22"/>
          <w:szCs w:val="22"/>
        </w:rPr>
        <w:t xml:space="preserve">% for the years ended December 31, </w:t>
      </w:r>
      <w:r w:rsidR="009E6EC8" w:rsidRPr="000634A4">
        <w:rPr>
          <w:spacing w:val="-2"/>
          <w:sz w:val="22"/>
          <w:szCs w:val="22"/>
        </w:rPr>
        <w:t xml:space="preserve">2022 </w:t>
      </w:r>
      <w:r w:rsidR="009F5AAB" w:rsidRPr="000634A4">
        <w:rPr>
          <w:spacing w:val="-2"/>
          <w:sz w:val="22"/>
          <w:szCs w:val="22"/>
        </w:rPr>
        <w:t xml:space="preserve">and </w:t>
      </w:r>
      <w:r w:rsidR="009E6EC8" w:rsidRPr="000634A4">
        <w:rPr>
          <w:spacing w:val="-2"/>
          <w:sz w:val="22"/>
          <w:szCs w:val="22"/>
        </w:rPr>
        <w:t>2021</w:t>
      </w:r>
      <w:r w:rsidR="009F5AAB" w:rsidRPr="000634A4">
        <w:rPr>
          <w:spacing w:val="-2"/>
          <w:sz w:val="22"/>
          <w:szCs w:val="22"/>
        </w:rPr>
        <w:t xml:space="preserve">, respectively. </w:t>
      </w:r>
      <w:r w:rsidRPr="000634A4">
        <w:rPr>
          <w:spacing w:val="-2"/>
          <w:sz w:val="22"/>
          <w:szCs w:val="22"/>
        </w:rPr>
        <w:t xml:space="preserve">The </w:t>
      </w:r>
      <w:r w:rsidR="00FC7FB7" w:rsidRPr="000634A4">
        <w:rPr>
          <w:spacing w:val="-2"/>
          <w:sz w:val="22"/>
          <w:szCs w:val="22"/>
        </w:rPr>
        <w:t xml:space="preserve">increase </w:t>
      </w:r>
      <w:r w:rsidRPr="000634A4">
        <w:rPr>
          <w:spacing w:val="-2"/>
          <w:sz w:val="22"/>
          <w:szCs w:val="22"/>
        </w:rPr>
        <w:t xml:space="preserve">in direct operating costs as a percentage of revenues during the year was primarily due to </w:t>
      </w:r>
      <w:r w:rsidR="00673E87" w:rsidRPr="000634A4">
        <w:rPr>
          <w:spacing w:val="-2"/>
          <w:sz w:val="22"/>
          <w:szCs w:val="22"/>
        </w:rPr>
        <w:t xml:space="preserve">an </w:t>
      </w:r>
      <w:r w:rsidR="00B447FD" w:rsidRPr="000634A4">
        <w:rPr>
          <w:spacing w:val="-2"/>
          <w:sz w:val="22"/>
          <w:szCs w:val="22"/>
        </w:rPr>
        <w:t>increase</w:t>
      </w:r>
      <w:r w:rsidR="00673E87" w:rsidRPr="000634A4">
        <w:rPr>
          <w:spacing w:val="-2"/>
          <w:sz w:val="22"/>
          <w:szCs w:val="22"/>
        </w:rPr>
        <w:t xml:space="preserve"> in</w:t>
      </w:r>
      <w:r w:rsidR="00B447FD" w:rsidRPr="000634A4">
        <w:rPr>
          <w:spacing w:val="-2"/>
          <w:sz w:val="22"/>
          <w:szCs w:val="22"/>
        </w:rPr>
        <w:t xml:space="preserve"> direct operating costs</w:t>
      </w:r>
      <w:r w:rsidRPr="000634A4">
        <w:rPr>
          <w:spacing w:val="-2"/>
          <w:sz w:val="22"/>
          <w:szCs w:val="22"/>
        </w:rPr>
        <w:t>, offset in part by an increase in</w:t>
      </w:r>
      <w:r w:rsidR="00B447FD" w:rsidRPr="000634A4">
        <w:rPr>
          <w:spacing w:val="-2"/>
          <w:sz w:val="22"/>
          <w:szCs w:val="22"/>
        </w:rPr>
        <w:t xml:space="preserve"> revenue</w:t>
      </w:r>
      <w:r w:rsidR="00AB46AB" w:rsidRPr="000634A4">
        <w:rPr>
          <w:spacing w:val="-2"/>
          <w:sz w:val="22"/>
          <w:szCs w:val="22"/>
        </w:rPr>
        <w:t>s</w:t>
      </w:r>
      <w:r w:rsidRPr="000634A4">
        <w:rPr>
          <w:spacing w:val="-2"/>
          <w:sz w:val="22"/>
          <w:szCs w:val="22"/>
        </w:rPr>
        <w:t xml:space="preserve">. </w:t>
      </w:r>
    </w:p>
    <w:p w14:paraId="044BECCA" w14:textId="77777777" w:rsidR="00BD49EC" w:rsidRPr="000634A4" w:rsidRDefault="00BD49EC" w:rsidP="00BD49EC">
      <w:pPr>
        <w:jc w:val="both"/>
        <w:rPr>
          <w:sz w:val="22"/>
          <w:szCs w:val="22"/>
        </w:rPr>
      </w:pPr>
    </w:p>
    <w:p w14:paraId="113930EA" w14:textId="7DE4FCD2" w:rsidR="00BD49EC" w:rsidRPr="000634A4" w:rsidRDefault="00BD49EC" w:rsidP="009B345D">
      <w:pPr>
        <w:autoSpaceDE w:val="0"/>
        <w:autoSpaceDN w:val="0"/>
        <w:adjustRightInd w:val="0"/>
        <w:ind w:firstLine="720"/>
        <w:jc w:val="both"/>
        <w:rPr>
          <w:spacing w:val="-2"/>
          <w:sz w:val="22"/>
          <w:szCs w:val="22"/>
        </w:rPr>
      </w:pPr>
      <w:bookmarkStart w:id="24" w:name="_Hlk93426749"/>
      <w:bookmarkStart w:id="25" w:name="_Hlk93426595"/>
      <w:bookmarkEnd w:id="23"/>
      <w:r w:rsidRPr="000634A4">
        <w:rPr>
          <w:sz w:val="22"/>
          <w:szCs w:val="22"/>
        </w:rPr>
        <w:t>Direct operating costs for the DDS segment were $</w:t>
      </w:r>
      <w:r w:rsidR="00153C79" w:rsidRPr="000634A4">
        <w:rPr>
          <w:sz w:val="22"/>
          <w:szCs w:val="22"/>
        </w:rPr>
        <w:t xml:space="preserve">35.1 </w:t>
      </w:r>
      <w:r w:rsidRPr="000634A4">
        <w:rPr>
          <w:sz w:val="22"/>
          <w:szCs w:val="22"/>
        </w:rPr>
        <w:t>million and $</w:t>
      </w:r>
      <w:r w:rsidR="009E6EC8" w:rsidRPr="000634A4">
        <w:rPr>
          <w:sz w:val="22"/>
          <w:szCs w:val="22"/>
        </w:rPr>
        <w:t>31.8</w:t>
      </w:r>
      <w:r w:rsidRPr="000634A4">
        <w:rPr>
          <w:sz w:val="22"/>
          <w:szCs w:val="22"/>
        </w:rPr>
        <w:t xml:space="preserve"> million for the years ended December 31, </w:t>
      </w:r>
      <w:r w:rsidR="009E6EC8" w:rsidRPr="000634A4">
        <w:rPr>
          <w:sz w:val="22"/>
          <w:szCs w:val="22"/>
        </w:rPr>
        <w:t xml:space="preserve">2022 </w:t>
      </w:r>
      <w:r w:rsidRPr="000634A4">
        <w:rPr>
          <w:sz w:val="22"/>
          <w:szCs w:val="22"/>
        </w:rPr>
        <w:t xml:space="preserve">and </w:t>
      </w:r>
      <w:r w:rsidR="009E6EC8" w:rsidRPr="000634A4">
        <w:rPr>
          <w:sz w:val="22"/>
          <w:szCs w:val="22"/>
        </w:rPr>
        <w:t>2021</w:t>
      </w:r>
      <w:r w:rsidRPr="000634A4">
        <w:rPr>
          <w:sz w:val="22"/>
          <w:szCs w:val="22"/>
        </w:rPr>
        <w:t>, respectively, an increase of $</w:t>
      </w:r>
      <w:r w:rsidR="00153C79" w:rsidRPr="000634A4">
        <w:rPr>
          <w:sz w:val="22"/>
          <w:szCs w:val="22"/>
        </w:rPr>
        <w:t xml:space="preserve">3.3 </w:t>
      </w:r>
      <w:r w:rsidRPr="000634A4">
        <w:rPr>
          <w:sz w:val="22"/>
          <w:szCs w:val="22"/>
        </w:rPr>
        <w:t xml:space="preserve">million or approximately </w:t>
      </w:r>
      <w:r w:rsidR="00153C79" w:rsidRPr="000634A4">
        <w:rPr>
          <w:sz w:val="22"/>
          <w:szCs w:val="22"/>
        </w:rPr>
        <w:t>10</w:t>
      </w:r>
      <w:r w:rsidRPr="000634A4">
        <w:rPr>
          <w:sz w:val="22"/>
          <w:szCs w:val="22"/>
        </w:rPr>
        <w:t xml:space="preserve">%. </w:t>
      </w:r>
      <w:r w:rsidRPr="000634A4">
        <w:rPr>
          <w:spacing w:val="-2"/>
          <w:sz w:val="22"/>
          <w:szCs w:val="22"/>
        </w:rPr>
        <w:t xml:space="preserve">These cost </w:t>
      </w:r>
      <w:r w:rsidRPr="000634A4">
        <w:rPr>
          <w:sz w:val="22"/>
          <w:szCs w:val="22"/>
        </w:rPr>
        <w:t xml:space="preserve">increases primarily supported our growth initiatives. </w:t>
      </w:r>
      <w:r w:rsidR="00EB1FF1" w:rsidRPr="000634A4">
        <w:rPr>
          <w:spacing w:val="-2"/>
          <w:sz w:val="22"/>
          <w:szCs w:val="22"/>
        </w:rPr>
        <w:t xml:space="preserve">The increase in Direct operating costs includes direct and indirect labor related costs primarily on account of higher headcount and salary increases of $2.4 million; </w:t>
      </w:r>
      <w:r w:rsidR="00EB1FF1" w:rsidRPr="000634A4">
        <w:rPr>
          <w:spacing w:val="-2"/>
          <w:sz w:val="22"/>
          <w:szCs w:val="22"/>
        </w:rPr>
        <w:lastRenderedPageBreak/>
        <w:t>severance cost of $0.</w:t>
      </w:r>
      <w:r w:rsidR="002F77DA" w:rsidRPr="000634A4">
        <w:rPr>
          <w:spacing w:val="-2"/>
          <w:sz w:val="22"/>
          <w:szCs w:val="22"/>
        </w:rPr>
        <w:t>3</w:t>
      </w:r>
      <w:r w:rsidR="00EB1FF1" w:rsidRPr="000634A4">
        <w:rPr>
          <w:spacing w:val="-2"/>
          <w:sz w:val="22"/>
          <w:szCs w:val="22"/>
        </w:rPr>
        <w:t xml:space="preserve"> million</w:t>
      </w:r>
      <w:r w:rsidR="002575B2" w:rsidRPr="000634A4">
        <w:rPr>
          <w:spacing w:val="-2"/>
          <w:sz w:val="22"/>
          <w:szCs w:val="22"/>
        </w:rPr>
        <w:t xml:space="preserve">, </w:t>
      </w:r>
      <w:r w:rsidR="00EB1FF1" w:rsidRPr="000634A4">
        <w:rPr>
          <w:spacing w:val="-2"/>
          <w:sz w:val="22"/>
          <w:szCs w:val="22"/>
        </w:rPr>
        <w:t>cloud services</w:t>
      </w:r>
      <w:r w:rsidR="005F533D" w:rsidRPr="000634A4">
        <w:rPr>
          <w:spacing w:val="-2"/>
          <w:sz w:val="22"/>
          <w:szCs w:val="22"/>
        </w:rPr>
        <w:t xml:space="preserve"> of $0.2 million</w:t>
      </w:r>
      <w:r w:rsidR="00EB1FF1" w:rsidRPr="000634A4">
        <w:rPr>
          <w:spacing w:val="-2"/>
          <w:sz w:val="22"/>
          <w:szCs w:val="22"/>
        </w:rPr>
        <w:t>,</w:t>
      </w:r>
      <w:r w:rsidR="00A412ED" w:rsidRPr="000634A4">
        <w:rPr>
          <w:spacing w:val="-2"/>
          <w:sz w:val="22"/>
          <w:szCs w:val="22"/>
        </w:rPr>
        <w:t xml:space="preserve"> </w:t>
      </w:r>
      <w:r w:rsidR="00734AF8" w:rsidRPr="000634A4">
        <w:rPr>
          <w:color w:val="0E101A"/>
          <w:sz w:val="22"/>
          <w:szCs w:val="22"/>
        </w:rPr>
        <w:t>an unfavorable</w:t>
      </w:r>
      <w:r w:rsidR="00734AF8" w:rsidRPr="000634A4">
        <w:rPr>
          <w:spacing w:val="-2"/>
          <w:sz w:val="22"/>
          <w:szCs w:val="22"/>
        </w:rPr>
        <w:t xml:space="preserve"> impact of foreign exchange rate fluctuations of $0.2 million</w:t>
      </w:r>
      <w:r w:rsidR="00734AF8" w:rsidRPr="000634A4">
        <w:rPr>
          <w:color w:val="0E101A"/>
          <w:sz w:val="22"/>
          <w:szCs w:val="22"/>
        </w:rPr>
        <w:t xml:space="preserve"> </w:t>
      </w:r>
      <w:r w:rsidR="00EB1FF1" w:rsidRPr="000634A4">
        <w:rPr>
          <w:spacing w:val="-2"/>
          <w:sz w:val="22"/>
          <w:szCs w:val="22"/>
        </w:rPr>
        <w:t xml:space="preserve">and </w:t>
      </w:r>
      <w:r w:rsidR="00EB1FF1" w:rsidRPr="000634A4">
        <w:rPr>
          <w:color w:val="0E101A"/>
          <w:sz w:val="22"/>
          <w:szCs w:val="22"/>
        </w:rPr>
        <w:t xml:space="preserve">other </w:t>
      </w:r>
      <w:r w:rsidR="00EB1FF1" w:rsidRPr="000634A4">
        <w:rPr>
          <w:spacing w:val="-2"/>
          <w:sz w:val="22"/>
          <w:szCs w:val="22"/>
        </w:rPr>
        <w:t>direct operating costs of $0.</w:t>
      </w:r>
      <w:r w:rsidR="002F77DA" w:rsidRPr="000634A4">
        <w:rPr>
          <w:spacing w:val="-2"/>
          <w:sz w:val="22"/>
          <w:szCs w:val="22"/>
        </w:rPr>
        <w:t>2</w:t>
      </w:r>
      <w:r w:rsidR="00EB1FF1" w:rsidRPr="000634A4">
        <w:rPr>
          <w:spacing w:val="-2"/>
          <w:sz w:val="22"/>
          <w:szCs w:val="22"/>
        </w:rPr>
        <w:t xml:space="preserve"> million. </w:t>
      </w:r>
      <w:r w:rsidR="001F2F4B" w:rsidRPr="000634A4">
        <w:rPr>
          <w:sz w:val="22"/>
          <w:szCs w:val="22"/>
        </w:rPr>
        <w:t xml:space="preserve"> </w:t>
      </w:r>
      <w:r w:rsidRPr="000634A4">
        <w:rPr>
          <w:spacing w:val="-2"/>
          <w:sz w:val="22"/>
          <w:szCs w:val="22"/>
        </w:rPr>
        <w:t xml:space="preserve">Direct operating costs for the DDS segment as a percentage of DDS segment revenues were </w:t>
      </w:r>
      <w:r w:rsidR="006C555C" w:rsidRPr="000634A4">
        <w:rPr>
          <w:spacing w:val="-2"/>
          <w:sz w:val="22"/>
          <w:szCs w:val="22"/>
        </w:rPr>
        <w:t xml:space="preserve">approximately </w:t>
      </w:r>
      <w:r w:rsidR="00153C79" w:rsidRPr="000634A4">
        <w:rPr>
          <w:sz w:val="22"/>
          <w:szCs w:val="22"/>
        </w:rPr>
        <w:t>62</w:t>
      </w:r>
      <w:r w:rsidRPr="000634A4">
        <w:rPr>
          <w:spacing w:val="-2"/>
          <w:sz w:val="22"/>
          <w:szCs w:val="22"/>
        </w:rPr>
        <w:t xml:space="preserve">% and </w:t>
      </w:r>
      <w:r w:rsidR="009E6EC8" w:rsidRPr="000634A4">
        <w:rPr>
          <w:spacing w:val="-2"/>
          <w:sz w:val="22"/>
          <w:szCs w:val="22"/>
        </w:rPr>
        <w:t>60</w:t>
      </w:r>
      <w:r w:rsidRPr="000634A4">
        <w:rPr>
          <w:spacing w:val="-2"/>
          <w:sz w:val="22"/>
          <w:szCs w:val="22"/>
        </w:rPr>
        <w:t xml:space="preserve">% for the years ended December 31, </w:t>
      </w:r>
      <w:r w:rsidR="009E6EC8" w:rsidRPr="000634A4">
        <w:rPr>
          <w:spacing w:val="-2"/>
          <w:sz w:val="22"/>
          <w:szCs w:val="22"/>
        </w:rPr>
        <w:t xml:space="preserve">2022 </w:t>
      </w:r>
      <w:r w:rsidRPr="000634A4">
        <w:rPr>
          <w:spacing w:val="-2"/>
          <w:sz w:val="22"/>
          <w:szCs w:val="22"/>
        </w:rPr>
        <w:t xml:space="preserve">and </w:t>
      </w:r>
      <w:r w:rsidR="009E6EC8" w:rsidRPr="000634A4">
        <w:rPr>
          <w:spacing w:val="-2"/>
          <w:sz w:val="22"/>
          <w:szCs w:val="22"/>
        </w:rPr>
        <w:t>2021</w:t>
      </w:r>
      <w:r w:rsidRPr="000634A4">
        <w:rPr>
          <w:spacing w:val="-2"/>
          <w:sz w:val="22"/>
          <w:szCs w:val="22"/>
        </w:rPr>
        <w:t xml:space="preserve">, respectively. The </w:t>
      </w:r>
      <w:r w:rsidR="004A1EB2" w:rsidRPr="000634A4">
        <w:rPr>
          <w:spacing w:val="-2"/>
          <w:sz w:val="22"/>
          <w:szCs w:val="22"/>
        </w:rPr>
        <w:t xml:space="preserve">increase </w:t>
      </w:r>
      <w:r w:rsidRPr="000634A4">
        <w:rPr>
          <w:spacing w:val="-2"/>
          <w:sz w:val="22"/>
          <w:szCs w:val="22"/>
        </w:rPr>
        <w:t xml:space="preserve">in direct operating costs </w:t>
      </w:r>
      <w:r w:rsidR="0037292D" w:rsidRPr="000634A4">
        <w:rPr>
          <w:spacing w:val="-2"/>
          <w:sz w:val="22"/>
          <w:szCs w:val="22"/>
        </w:rPr>
        <w:t xml:space="preserve">of the DDS segment </w:t>
      </w:r>
      <w:r w:rsidRPr="000634A4">
        <w:rPr>
          <w:spacing w:val="-2"/>
          <w:sz w:val="22"/>
          <w:szCs w:val="22"/>
        </w:rPr>
        <w:t xml:space="preserve">as a percentage of </w:t>
      </w:r>
      <w:r w:rsidR="0037292D" w:rsidRPr="000634A4">
        <w:rPr>
          <w:spacing w:val="-2"/>
          <w:sz w:val="22"/>
          <w:szCs w:val="22"/>
        </w:rPr>
        <w:t xml:space="preserve">DDS </w:t>
      </w:r>
      <w:r w:rsidRPr="000634A4">
        <w:rPr>
          <w:spacing w:val="-2"/>
          <w:sz w:val="22"/>
          <w:szCs w:val="22"/>
        </w:rPr>
        <w:t xml:space="preserve">segment revenues during the year was primarily due to </w:t>
      </w:r>
      <w:r w:rsidR="004A1EB2" w:rsidRPr="000634A4">
        <w:rPr>
          <w:spacing w:val="-2"/>
          <w:sz w:val="22"/>
          <w:szCs w:val="22"/>
        </w:rPr>
        <w:t>an increase in direct operating costs</w:t>
      </w:r>
      <w:r w:rsidRPr="000634A4">
        <w:rPr>
          <w:spacing w:val="-2"/>
          <w:sz w:val="22"/>
          <w:szCs w:val="22"/>
        </w:rPr>
        <w:t xml:space="preserve">, offset in part by an increase in </w:t>
      </w:r>
      <w:r w:rsidR="004A1EB2" w:rsidRPr="000634A4">
        <w:rPr>
          <w:spacing w:val="-2"/>
          <w:sz w:val="22"/>
          <w:szCs w:val="22"/>
        </w:rPr>
        <w:t>revenues.</w:t>
      </w:r>
    </w:p>
    <w:p w14:paraId="581292D6" w14:textId="5C9A4458" w:rsidR="00BD49EC" w:rsidRPr="000634A4" w:rsidRDefault="00BD49EC" w:rsidP="009F5AAB">
      <w:pPr>
        <w:ind w:firstLine="720"/>
        <w:jc w:val="both"/>
        <w:rPr>
          <w:spacing w:val="-2"/>
          <w:sz w:val="22"/>
          <w:szCs w:val="22"/>
        </w:rPr>
      </w:pPr>
      <w:bookmarkStart w:id="26" w:name="_Hlk93427758"/>
      <w:bookmarkStart w:id="27" w:name="_Hlk93427999"/>
      <w:bookmarkEnd w:id="24"/>
      <w:bookmarkEnd w:id="25"/>
    </w:p>
    <w:p w14:paraId="73412235" w14:textId="658E4EDE" w:rsidR="00BD49EC" w:rsidRPr="000634A4" w:rsidRDefault="00BD49EC" w:rsidP="009B345D">
      <w:pPr>
        <w:autoSpaceDE w:val="0"/>
        <w:autoSpaceDN w:val="0"/>
        <w:adjustRightInd w:val="0"/>
        <w:ind w:firstLine="720"/>
        <w:jc w:val="both"/>
        <w:rPr>
          <w:sz w:val="22"/>
          <w:szCs w:val="22"/>
        </w:rPr>
      </w:pPr>
      <w:r w:rsidRPr="000634A4">
        <w:rPr>
          <w:sz w:val="22"/>
          <w:szCs w:val="22"/>
        </w:rPr>
        <w:t>Direct operating costs for the Synodex segment were approximately $</w:t>
      </w:r>
      <w:r w:rsidR="00562342" w:rsidRPr="000634A4">
        <w:rPr>
          <w:sz w:val="22"/>
          <w:szCs w:val="22"/>
        </w:rPr>
        <w:t xml:space="preserve">8.0 </w:t>
      </w:r>
      <w:r w:rsidRPr="000634A4">
        <w:rPr>
          <w:sz w:val="22"/>
          <w:szCs w:val="22"/>
        </w:rPr>
        <w:t>million and $</w:t>
      </w:r>
      <w:r w:rsidR="009E6EC8" w:rsidRPr="000634A4">
        <w:rPr>
          <w:sz w:val="22"/>
          <w:szCs w:val="22"/>
        </w:rPr>
        <w:t>4</w:t>
      </w:r>
      <w:r w:rsidRPr="000634A4">
        <w:rPr>
          <w:sz w:val="22"/>
          <w:szCs w:val="22"/>
        </w:rPr>
        <w:t xml:space="preserve">.4 million for the years ended December 31, </w:t>
      </w:r>
      <w:r w:rsidR="009E6EC8" w:rsidRPr="000634A4">
        <w:rPr>
          <w:sz w:val="22"/>
          <w:szCs w:val="22"/>
        </w:rPr>
        <w:t xml:space="preserve">2022 </w:t>
      </w:r>
      <w:r w:rsidRPr="000634A4">
        <w:rPr>
          <w:sz w:val="22"/>
          <w:szCs w:val="22"/>
        </w:rPr>
        <w:t xml:space="preserve">and </w:t>
      </w:r>
      <w:r w:rsidR="009E6EC8" w:rsidRPr="000634A4">
        <w:rPr>
          <w:sz w:val="22"/>
          <w:szCs w:val="22"/>
        </w:rPr>
        <w:t>2021</w:t>
      </w:r>
      <w:r w:rsidRPr="000634A4">
        <w:rPr>
          <w:sz w:val="22"/>
          <w:szCs w:val="22"/>
        </w:rPr>
        <w:t>, respectively, an increase of $</w:t>
      </w:r>
      <w:r w:rsidR="00562342" w:rsidRPr="000634A4">
        <w:rPr>
          <w:sz w:val="22"/>
          <w:szCs w:val="22"/>
        </w:rPr>
        <w:t xml:space="preserve">3.6 </w:t>
      </w:r>
      <w:r w:rsidRPr="000634A4">
        <w:rPr>
          <w:sz w:val="22"/>
          <w:szCs w:val="22"/>
        </w:rPr>
        <w:t xml:space="preserve">million or </w:t>
      </w:r>
      <w:r w:rsidR="006B3EE7" w:rsidRPr="000634A4">
        <w:rPr>
          <w:sz w:val="22"/>
          <w:szCs w:val="22"/>
        </w:rPr>
        <w:t xml:space="preserve">approximately </w:t>
      </w:r>
      <w:r w:rsidR="00562342" w:rsidRPr="000634A4">
        <w:rPr>
          <w:sz w:val="22"/>
          <w:szCs w:val="22"/>
        </w:rPr>
        <w:t>82</w:t>
      </w:r>
      <w:r w:rsidRPr="000634A4">
        <w:rPr>
          <w:sz w:val="22"/>
          <w:szCs w:val="22"/>
        </w:rPr>
        <w:t xml:space="preserve">%. </w:t>
      </w:r>
      <w:r w:rsidR="00DB1D80" w:rsidRPr="000634A4">
        <w:rPr>
          <w:sz w:val="22"/>
          <w:szCs w:val="22"/>
        </w:rPr>
        <w:t xml:space="preserve">The cost increase primarily supported our growth initiatives combined with the timing of new technology roll-out. </w:t>
      </w:r>
      <w:r w:rsidR="00D26062" w:rsidRPr="000634A4">
        <w:rPr>
          <w:spacing w:val="-2"/>
          <w:sz w:val="22"/>
          <w:szCs w:val="22"/>
        </w:rPr>
        <w:t>The increase in Direct operating costs was primarily due to an increase in direct labor costs on account of higher headcount and salary increases of $2.9 million</w:t>
      </w:r>
      <w:r w:rsidR="00FA27AB" w:rsidRPr="000634A4">
        <w:rPr>
          <w:spacing w:val="-2"/>
          <w:sz w:val="22"/>
          <w:szCs w:val="22"/>
        </w:rPr>
        <w:t>,</w:t>
      </w:r>
      <w:r w:rsidR="00D26062" w:rsidRPr="000634A4">
        <w:rPr>
          <w:spacing w:val="-2"/>
          <w:sz w:val="22"/>
          <w:szCs w:val="22"/>
        </w:rPr>
        <w:t xml:space="preserve"> depreciation and amortization of capitalized developed software of $0.</w:t>
      </w:r>
      <w:r w:rsidR="00383A76" w:rsidRPr="000634A4">
        <w:rPr>
          <w:spacing w:val="-2"/>
          <w:sz w:val="22"/>
          <w:szCs w:val="22"/>
        </w:rPr>
        <w:t xml:space="preserve">6 </w:t>
      </w:r>
      <w:r w:rsidR="00D26062" w:rsidRPr="000634A4">
        <w:rPr>
          <w:spacing w:val="-2"/>
          <w:sz w:val="22"/>
          <w:szCs w:val="22"/>
        </w:rPr>
        <w:t>million</w:t>
      </w:r>
      <w:r w:rsidR="009A3D42" w:rsidRPr="000634A4">
        <w:rPr>
          <w:spacing w:val="-2"/>
          <w:sz w:val="22"/>
          <w:szCs w:val="22"/>
        </w:rPr>
        <w:t xml:space="preserve">, </w:t>
      </w:r>
      <w:r w:rsidR="001C7FF4" w:rsidRPr="000634A4">
        <w:rPr>
          <w:spacing w:val="-2"/>
          <w:sz w:val="22"/>
          <w:szCs w:val="22"/>
        </w:rPr>
        <w:t xml:space="preserve">and </w:t>
      </w:r>
      <w:r w:rsidR="009A3D42" w:rsidRPr="000634A4">
        <w:rPr>
          <w:spacing w:val="-2"/>
          <w:sz w:val="22"/>
          <w:szCs w:val="22"/>
        </w:rPr>
        <w:t>cloud services of $0.2 million</w:t>
      </w:r>
      <w:r w:rsidR="00353377" w:rsidRPr="000634A4">
        <w:rPr>
          <w:spacing w:val="-2"/>
          <w:sz w:val="22"/>
          <w:szCs w:val="22"/>
        </w:rPr>
        <w:t xml:space="preserve">, offset in part by a decrease in </w:t>
      </w:r>
      <w:r w:rsidR="00353377" w:rsidRPr="000634A4">
        <w:rPr>
          <w:color w:val="0E101A"/>
          <w:sz w:val="22"/>
          <w:szCs w:val="22"/>
        </w:rPr>
        <w:t xml:space="preserve">other </w:t>
      </w:r>
      <w:r w:rsidR="00353377" w:rsidRPr="000634A4">
        <w:rPr>
          <w:spacing w:val="-2"/>
          <w:sz w:val="22"/>
          <w:szCs w:val="22"/>
        </w:rPr>
        <w:t>direct operating costs of $0.1 million</w:t>
      </w:r>
      <w:r w:rsidR="00D26062" w:rsidRPr="000634A4">
        <w:rPr>
          <w:spacing w:val="-2"/>
          <w:sz w:val="22"/>
          <w:szCs w:val="22"/>
        </w:rPr>
        <w:t>.</w:t>
      </w:r>
      <w:r w:rsidR="00353377" w:rsidRPr="000634A4">
        <w:rPr>
          <w:spacing w:val="-2"/>
          <w:sz w:val="22"/>
          <w:szCs w:val="22"/>
        </w:rPr>
        <w:t xml:space="preserve"> </w:t>
      </w:r>
      <w:r w:rsidRPr="000634A4">
        <w:rPr>
          <w:sz w:val="22"/>
          <w:szCs w:val="22"/>
        </w:rPr>
        <w:t xml:space="preserve">Direct operating costs for the Synodex segment as a percentage of segment revenues were </w:t>
      </w:r>
      <w:r w:rsidR="006C555C" w:rsidRPr="000634A4">
        <w:rPr>
          <w:sz w:val="22"/>
          <w:szCs w:val="22"/>
        </w:rPr>
        <w:t xml:space="preserve">approximately </w:t>
      </w:r>
      <w:r w:rsidR="00D93B41" w:rsidRPr="000634A4">
        <w:rPr>
          <w:sz w:val="22"/>
          <w:szCs w:val="22"/>
        </w:rPr>
        <w:t>113</w:t>
      </w:r>
      <w:r w:rsidRPr="000634A4">
        <w:rPr>
          <w:sz w:val="22"/>
          <w:szCs w:val="22"/>
        </w:rPr>
        <w:t xml:space="preserve">% and </w:t>
      </w:r>
      <w:r w:rsidR="005512C5" w:rsidRPr="000634A4">
        <w:rPr>
          <w:sz w:val="22"/>
          <w:szCs w:val="22"/>
        </w:rPr>
        <w:t>105</w:t>
      </w:r>
      <w:r w:rsidRPr="000634A4">
        <w:rPr>
          <w:sz w:val="22"/>
          <w:szCs w:val="22"/>
        </w:rPr>
        <w:t xml:space="preserve">% for the years ended </w:t>
      </w:r>
      <w:r w:rsidRPr="000634A4">
        <w:rPr>
          <w:spacing w:val="-2"/>
          <w:sz w:val="22"/>
          <w:szCs w:val="22"/>
        </w:rPr>
        <w:t xml:space="preserve">December 31, </w:t>
      </w:r>
      <w:r w:rsidR="005512C5" w:rsidRPr="000634A4">
        <w:rPr>
          <w:spacing w:val="-2"/>
          <w:sz w:val="22"/>
          <w:szCs w:val="22"/>
        </w:rPr>
        <w:t xml:space="preserve">2022 </w:t>
      </w:r>
      <w:r w:rsidRPr="000634A4">
        <w:rPr>
          <w:spacing w:val="-2"/>
          <w:sz w:val="22"/>
          <w:szCs w:val="22"/>
        </w:rPr>
        <w:t xml:space="preserve">and </w:t>
      </w:r>
      <w:r w:rsidR="005512C5" w:rsidRPr="000634A4">
        <w:rPr>
          <w:spacing w:val="-2"/>
          <w:sz w:val="22"/>
          <w:szCs w:val="22"/>
        </w:rPr>
        <w:t>2021</w:t>
      </w:r>
      <w:r w:rsidRPr="000634A4">
        <w:rPr>
          <w:spacing w:val="-2"/>
          <w:sz w:val="22"/>
          <w:szCs w:val="22"/>
        </w:rPr>
        <w:t xml:space="preserve">, respectively. The increase in direct operating costs </w:t>
      </w:r>
      <w:r w:rsidR="0037292D" w:rsidRPr="000634A4">
        <w:rPr>
          <w:spacing w:val="-2"/>
          <w:sz w:val="22"/>
          <w:szCs w:val="22"/>
        </w:rPr>
        <w:t>of the Synodex</w:t>
      </w:r>
      <w:r w:rsidR="00871BED">
        <w:rPr>
          <w:spacing w:val="-2"/>
          <w:sz w:val="22"/>
          <w:szCs w:val="22"/>
        </w:rPr>
        <w:t xml:space="preserve"> segment</w:t>
      </w:r>
      <w:r w:rsidR="0037292D" w:rsidRPr="000634A4">
        <w:rPr>
          <w:spacing w:val="-2"/>
          <w:sz w:val="22"/>
          <w:szCs w:val="22"/>
        </w:rPr>
        <w:t xml:space="preserve"> </w:t>
      </w:r>
      <w:r w:rsidRPr="000634A4">
        <w:rPr>
          <w:spacing w:val="-2"/>
          <w:sz w:val="22"/>
          <w:szCs w:val="22"/>
        </w:rPr>
        <w:t xml:space="preserve">as a percentage of </w:t>
      </w:r>
      <w:r w:rsidR="0037292D" w:rsidRPr="000634A4">
        <w:rPr>
          <w:spacing w:val="-2"/>
          <w:sz w:val="22"/>
          <w:szCs w:val="22"/>
        </w:rPr>
        <w:t xml:space="preserve">Synodex </w:t>
      </w:r>
      <w:r w:rsidRPr="000634A4">
        <w:rPr>
          <w:spacing w:val="-2"/>
          <w:sz w:val="22"/>
          <w:szCs w:val="22"/>
        </w:rPr>
        <w:t xml:space="preserve">segment revenues during the year was primarily due to </w:t>
      </w:r>
      <w:r w:rsidR="002A6FD1" w:rsidRPr="000634A4">
        <w:rPr>
          <w:spacing w:val="-2"/>
          <w:sz w:val="22"/>
          <w:szCs w:val="22"/>
        </w:rPr>
        <w:t xml:space="preserve">an increase </w:t>
      </w:r>
      <w:r w:rsidR="00B27B7B" w:rsidRPr="000634A4">
        <w:rPr>
          <w:spacing w:val="-2"/>
          <w:sz w:val="22"/>
          <w:szCs w:val="22"/>
        </w:rPr>
        <w:t xml:space="preserve">in </w:t>
      </w:r>
      <w:r w:rsidRPr="000634A4">
        <w:rPr>
          <w:spacing w:val="-2"/>
          <w:sz w:val="22"/>
          <w:szCs w:val="22"/>
        </w:rPr>
        <w:t>direct operating costs</w:t>
      </w:r>
      <w:r w:rsidR="00B27B7B" w:rsidRPr="000634A4">
        <w:rPr>
          <w:spacing w:val="-2"/>
          <w:sz w:val="22"/>
          <w:szCs w:val="22"/>
        </w:rPr>
        <w:t>, offset in part by an increase in revenues.</w:t>
      </w:r>
    </w:p>
    <w:p w14:paraId="24CA538D" w14:textId="77777777" w:rsidR="00BD49EC" w:rsidRPr="000634A4" w:rsidRDefault="00BD49EC" w:rsidP="00BD49EC">
      <w:pPr>
        <w:rPr>
          <w:sz w:val="22"/>
          <w:szCs w:val="22"/>
        </w:rPr>
      </w:pPr>
    </w:p>
    <w:p w14:paraId="51391580" w14:textId="5902EB4C" w:rsidR="00BD49EC" w:rsidRPr="000634A4" w:rsidRDefault="00BD49EC" w:rsidP="00BD49EC">
      <w:pPr>
        <w:ind w:firstLine="720"/>
        <w:jc w:val="both"/>
        <w:rPr>
          <w:spacing w:val="-2"/>
          <w:sz w:val="22"/>
          <w:szCs w:val="22"/>
        </w:rPr>
      </w:pPr>
      <w:bookmarkStart w:id="28" w:name="_Hlk93428206"/>
      <w:r w:rsidRPr="000634A4">
        <w:rPr>
          <w:sz w:val="22"/>
          <w:szCs w:val="22"/>
        </w:rPr>
        <w:t>Direct operating costs for the Agility segment were approximately $</w:t>
      </w:r>
      <w:r w:rsidR="00D93B41" w:rsidRPr="000634A4">
        <w:rPr>
          <w:sz w:val="22"/>
          <w:szCs w:val="22"/>
        </w:rPr>
        <w:t xml:space="preserve">8.4 </w:t>
      </w:r>
      <w:r w:rsidRPr="000634A4">
        <w:rPr>
          <w:sz w:val="22"/>
          <w:szCs w:val="22"/>
        </w:rPr>
        <w:t>million and $</w:t>
      </w:r>
      <w:r w:rsidR="005512C5" w:rsidRPr="000634A4">
        <w:rPr>
          <w:sz w:val="22"/>
          <w:szCs w:val="22"/>
        </w:rPr>
        <w:t>7.3</w:t>
      </w:r>
      <w:r w:rsidRPr="000634A4">
        <w:rPr>
          <w:sz w:val="22"/>
          <w:szCs w:val="22"/>
        </w:rPr>
        <w:t xml:space="preserve"> million for the years ended December 31, </w:t>
      </w:r>
      <w:r w:rsidR="005512C5" w:rsidRPr="000634A4">
        <w:rPr>
          <w:sz w:val="22"/>
          <w:szCs w:val="22"/>
        </w:rPr>
        <w:t xml:space="preserve">2022 </w:t>
      </w:r>
      <w:r w:rsidRPr="000634A4">
        <w:rPr>
          <w:sz w:val="22"/>
          <w:szCs w:val="22"/>
        </w:rPr>
        <w:t xml:space="preserve">and </w:t>
      </w:r>
      <w:r w:rsidR="005512C5" w:rsidRPr="000634A4">
        <w:rPr>
          <w:sz w:val="22"/>
          <w:szCs w:val="22"/>
        </w:rPr>
        <w:t>2021</w:t>
      </w:r>
      <w:r w:rsidRPr="000634A4">
        <w:rPr>
          <w:sz w:val="22"/>
          <w:szCs w:val="22"/>
        </w:rPr>
        <w:t>, respectively, an increase of $</w:t>
      </w:r>
      <w:r w:rsidR="00D93B41" w:rsidRPr="000634A4">
        <w:rPr>
          <w:sz w:val="22"/>
          <w:szCs w:val="22"/>
        </w:rPr>
        <w:t>1.1</w:t>
      </w:r>
      <w:r w:rsidR="005512C5" w:rsidRPr="000634A4">
        <w:rPr>
          <w:sz w:val="22"/>
          <w:szCs w:val="22"/>
        </w:rPr>
        <w:t xml:space="preserve"> </w:t>
      </w:r>
      <w:r w:rsidRPr="000634A4">
        <w:rPr>
          <w:sz w:val="22"/>
          <w:szCs w:val="22"/>
        </w:rPr>
        <w:t xml:space="preserve">million or </w:t>
      </w:r>
      <w:r w:rsidR="005512C5" w:rsidRPr="000634A4">
        <w:rPr>
          <w:sz w:val="22"/>
          <w:szCs w:val="22"/>
        </w:rPr>
        <w:t xml:space="preserve">approximately </w:t>
      </w:r>
      <w:r w:rsidR="00C65FF5" w:rsidRPr="000634A4">
        <w:rPr>
          <w:sz w:val="22"/>
          <w:szCs w:val="22"/>
        </w:rPr>
        <w:t>15</w:t>
      </w:r>
      <w:r w:rsidRPr="000634A4">
        <w:rPr>
          <w:sz w:val="22"/>
          <w:szCs w:val="22"/>
        </w:rPr>
        <w:t xml:space="preserve">%. </w:t>
      </w:r>
      <w:r w:rsidR="002F41BD" w:rsidRPr="000634A4">
        <w:rPr>
          <w:color w:val="0E101A"/>
          <w:sz w:val="22"/>
          <w:szCs w:val="22"/>
        </w:rPr>
        <w:t>The cost increase was primarily due to higher amortization of capitalized developed software</w:t>
      </w:r>
      <w:r w:rsidR="006321A0" w:rsidRPr="000634A4">
        <w:rPr>
          <w:color w:val="0E101A"/>
          <w:sz w:val="22"/>
          <w:szCs w:val="22"/>
        </w:rPr>
        <w:t xml:space="preserve"> of $0.4 million, </w:t>
      </w:r>
      <w:r w:rsidR="002F41BD" w:rsidRPr="000634A4">
        <w:rPr>
          <w:color w:val="0E101A"/>
          <w:sz w:val="22"/>
          <w:szCs w:val="22"/>
        </w:rPr>
        <w:t>content costs of $</w:t>
      </w:r>
      <w:r w:rsidR="002F41BD" w:rsidRPr="000634A4">
        <w:rPr>
          <w:spacing w:val="-2"/>
          <w:sz w:val="22"/>
          <w:szCs w:val="22"/>
        </w:rPr>
        <w:t>0.</w:t>
      </w:r>
      <w:r w:rsidR="006321A0" w:rsidRPr="000634A4">
        <w:rPr>
          <w:spacing w:val="-2"/>
          <w:sz w:val="22"/>
          <w:szCs w:val="22"/>
        </w:rPr>
        <w:t>3</w:t>
      </w:r>
      <w:r w:rsidR="006321A0" w:rsidRPr="000634A4">
        <w:rPr>
          <w:color w:val="0E101A"/>
          <w:sz w:val="22"/>
          <w:szCs w:val="22"/>
        </w:rPr>
        <w:t xml:space="preserve"> </w:t>
      </w:r>
      <w:r w:rsidR="002F41BD" w:rsidRPr="000634A4">
        <w:rPr>
          <w:color w:val="0E101A"/>
          <w:sz w:val="22"/>
          <w:szCs w:val="22"/>
        </w:rPr>
        <w:t>million</w:t>
      </w:r>
      <w:r w:rsidR="00D35DFA" w:rsidRPr="000634A4">
        <w:rPr>
          <w:color w:val="0E101A"/>
          <w:sz w:val="22"/>
          <w:szCs w:val="22"/>
        </w:rPr>
        <w:t>,</w:t>
      </w:r>
      <w:r w:rsidR="002F41BD" w:rsidRPr="000634A4">
        <w:rPr>
          <w:color w:val="0E101A"/>
          <w:sz w:val="22"/>
          <w:szCs w:val="22"/>
        </w:rPr>
        <w:t xml:space="preserve"> higher labor related costs of $</w:t>
      </w:r>
      <w:r w:rsidR="002F41BD" w:rsidRPr="000634A4">
        <w:rPr>
          <w:spacing w:val="-2"/>
          <w:sz w:val="22"/>
          <w:szCs w:val="22"/>
        </w:rPr>
        <w:t>0.</w:t>
      </w:r>
      <w:r w:rsidR="00D35DFA" w:rsidRPr="000634A4">
        <w:rPr>
          <w:spacing w:val="-2"/>
          <w:sz w:val="22"/>
          <w:szCs w:val="22"/>
        </w:rPr>
        <w:t>3</w:t>
      </w:r>
      <w:r w:rsidR="002F41BD" w:rsidRPr="000634A4">
        <w:rPr>
          <w:color w:val="0E101A"/>
          <w:sz w:val="22"/>
          <w:szCs w:val="22"/>
        </w:rPr>
        <w:t xml:space="preserve"> million, </w:t>
      </w:r>
      <w:r w:rsidR="00315A24" w:rsidRPr="000634A4">
        <w:rPr>
          <w:color w:val="0E101A"/>
          <w:sz w:val="22"/>
          <w:szCs w:val="22"/>
        </w:rPr>
        <w:t xml:space="preserve">and </w:t>
      </w:r>
      <w:r w:rsidR="002F41BD" w:rsidRPr="000634A4">
        <w:rPr>
          <w:color w:val="0E101A"/>
          <w:sz w:val="22"/>
          <w:szCs w:val="22"/>
        </w:rPr>
        <w:t>an unfavorable</w:t>
      </w:r>
      <w:r w:rsidR="002F41BD" w:rsidRPr="000634A4">
        <w:rPr>
          <w:spacing w:val="-2"/>
          <w:sz w:val="22"/>
          <w:szCs w:val="22"/>
        </w:rPr>
        <w:t xml:space="preserve"> impact of foreign exchange rate fluctuations of $0.</w:t>
      </w:r>
      <w:r w:rsidR="00861D67" w:rsidRPr="000634A4">
        <w:rPr>
          <w:spacing w:val="-2"/>
          <w:sz w:val="22"/>
          <w:szCs w:val="22"/>
        </w:rPr>
        <w:t>1</w:t>
      </w:r>
      <w:r w:rsidR="002F41BD" w:rsidRPr="000634A4">
        <w:rPr>
          <w:spacing w:val="-2"/>
          <w:sz w:val="22"/>
          <w:szCs w:val="22"/>
        </w:rPr>
        <w:t xml:space="preserve"> million</w:t>
      </w:r>
      <w:r w:rsidR="00315A24" w:rsidRPr="000634A4">
        <w:rPr>
          <w:color w:val="0E101A"/>
          <w:sz w:val="22"/>
          <w:szCs w:val="22"/>
        </w:rPr>
        <w:t xml:space="preserve">. </w:t>
      </w:r>
      <w:r w:rsidRPr="000634A4">
        <w:rPr>
          <w:spacing w:val="-2"/>
          <w:sz w:val="22"/>
          <w:szCs w:val="22"/>
        </w:rPr>
        <w:t>Di</w:t>
      </w:r>
      <w:r w:rsidRPr="000634A4">
        <w:rPr>
          <w:sz w:val="22"/>
          <w:szCs w:val="22"/>
        </w:rPr>
        <w:t xml:space="preserve">rect operating costs for the Agility segment as a percentage of Agility segment revenues were </w:t>
      </w:r>
      <w:r w:rsidR="006C555C" w:rsidRPr="000634A4">
        <w:rPr>
          <w:spacing w:val="-2"/>
          <w:sz w:val="22"/>
          <w:szCs w:val="22"/>
        </w:rPr>
        <w:t>approximately</w:t>
      </w:r>
      <w:r w:rsidR="006C555C" w:rsidRPr="000634A4">
        <w:rPr>
          <w:sz w:val="22"/>
          <w:szCs w:val="22"/>
        </w:rPr>
        <w:t xml:space="preserve"> </w:t>
      </w:r>
      <w:r w:rsidR="00C65FF5" w:rsidRPr="000634A4">
        <w:rPr>
          <w:sz w:val="22"/>
          <w:szCs w:val="22"/>
        </w:rPr>
        <w:t>55</w:t>
      </w:r>
      <w:r w:rsidRPr="000634A4">
        <w:rPr>
          <w:sz w:val="22"/>
          <w:szCs w:val="22"/>
        </w:rPr>
        <w:t xml:space="preserve">% and </w:t>
      </w:r>
      <w:r w:rsidR="005512C5" w:rsidRPr="000634A4">
        <w:rPr>
          <w:sz w:val="22"/>
          <w:szCs w:val="22"/>
        </w:rPr>
        <w:t>56</w:t>
      </w:r>
      <w:r w:rsidRPr="000634A4">
        <w:rPr>
          <w:sz w:val="22"/>
          <w:szCs w:val="22"/>
        </w:rPr>
        <w:t xml:space="preserve">% for the years ended </w:t>
      </w:r>
      <w:r w:rsidRPr="000634A4">
        <w:rPr>
          <w:spacing w:val="-2"/>
          <w:sz w:val="22"/>
          <w:szCs w:val="22"/>
        </w:rPr>
        <w:t xml:space="preserve">December 31, </w:t>
      </w:r>
      <w:r w:rsidR="005512C5" w:rsidRPr="000634A4">
        <w:rPr>
          <w:spacing w:val="-2"/>
          <w:sz w:val="22"/>
          <w:szCs w:val="22"/>
        </w:rPr>
        <w:t xml:space="preserve">2022 </w:t>
      </w:r>
      <w:r w:rsidRPr="000634A4">
        <w:rPr>
          <w:spacing w:val="-2"/>
          <w:sz w:val="22"/>
          <w:szCs w:val="22"/>
        </w:rPr>
        <w:t xml:space="preserve">and </w:t>
      </w:r>
      <w:r w:rsidR="005512C5" w:rsidRPr="000634A4">
        <w:rPr>
          <w:spacing w:val="-2"/>
          <w:sz w:val="22"/>
          <w:szCs w:val="22"/>
        </w:rPr>
        <w:t>2021</w:t>
      </w:r>
      <w:r w:rsidRPr="000634A4">
        <w:rPr>
          <w:spacing w:val="-2"/>
          <w:sz w:val="22"/>
          <w:szCs w:val="22"/>
        </w:rPr>
        <w:t xml:space="preserve">, respectively. The decrease in direct operating costs </w:t>
      </w:r>
      <w:r w:rsidR="0037292D" w:rsidRPr="000634A4">
        <w:rPr>
          <w:spacing w:val="-2"/>
          <w:sz w:val="22"/>
          <w:szCs w:val="22"/>
        </w:rPr>
        <w:t>of the Agility</w:t>
      </w:r>
      <w:r w:rsidR="004464DD">
        <w:rPr>
          <w:spacing w:val="-2"/>
          <w:sz w:val="22"/>
          <w:szCs w:val="22"/>
        </w:rPr>
        <w:t xml:space="preserve"> segment</w:t>
      </w:r>
      <w:r w:rsidR="0037292D" w:rsidRPr="000634A4">
        <w:rPr>
          <w:spacing w:val="-2"/>
          <w:sz w:val="22"/>
          <w:szCs w:val="22"/>
        </w:rPr>
        <w:t xml:space="preserve"> </w:t>
      </w:r>
      <w:r w:rsidRPr="000634A4">
        <w:rPr>
          <w:spacing w:val="-2"/>
          <w:sz w:val="22"/>
          <w:szCs w:val="22"/>
        </w:rPr>
        <w:t xml:space="preserve">as a percentage of </w:t>
      </w:r>
      <w:r w:rsidR="0037292D" w:rsidRPr="000634A4">
        <w:rPr>
          <w:spacing w:val="-2"/>
          <w:sz w:val="22"/>
          <w:szCs w:val="22"/>
        </w:rPr>
        <w:t xml:space="preserve">Agility </w:t>
      </w:r>
      <w:r w:rsidRPr="000634A4">
        <w:rPr>
          <w:spacing w:val="-2"/>
          <w:sz w:val="22"/>
          <w:szCs w:val="22"/>
        </w:rPr>
        <w:t xml:space="preserve">segment revenues during the year was primarily due to higher </w:t>
      </w:r>
      <w:r w:rsidR="00F37032" w:rsidRPr="000634A4">
        <w:rPr>
          <w:spacing w:val="-2"/>
          <w:sz w:val="22"/>
          <w:szCs w:val="22"/>
        </w:rPr>
        <w:t>volumes from subscriptions to our Agility AI-enabled industry platform and newswire product</w:t>
      </w:r>
      <w:r w:rsidRPr="000634A4">
        <w:rPr>
          <w:spacing w:val="-2"/>
          <w:sz w:val="22"/>
          <w:szCs w:val="22"/>
        </w:rPr>
        <w:t>,</w:t>
      </w:r>
      <w:r w:rsidR="00F37032" w:rsidRPr="000634A4">
        <w:rPr>
          <w:spacing w:val="-2"/>
          <w:sz w:val="22"/>
          <w:szCs w:val="22"/>
        </w:rPr>
        <w:t xml:space="preserve"> </w:t>
      </w:r>
      <w:r w:rsidRPr="000634A4">
        <w:rPr>
          <w:spacing w:val="-2"/>
          <w:sz w:val="22"/>
          <w:szCs w:val="22"/>
        </w:rPr>
        <w:t xml:space="preserve">offset in part by an </w:t>
      </w:r>
      <w:r w:rsidR="001C1CC8" w:rsidRPr="000634A4">
        <w:rPr>
          <w:spacing w:val="-2"/>
          <w:sz w:val="22"/>
          <w:szCs w:val="22"/>
        </w:rPr>
        <w:t>increase</w:t>
      </w:r>
      <w:r w:rsidR="0099712E" w:rsidRPr="000634A4">
        <w:rPr>
          <w:spacing w:val="-2"/>
          <w:sz w:val="22"/>
          <w:szCs w:val="22"/>
        </w:rPr>
        <w:t xml:space="preserve"> </w:t>
      </w:r>
      <w:r w:rsidRPr="000634A4">
        <w:rPr>
          <w:spacing w:val="-2"/>
          <w:sz w:val="22"/>
          <w:szCs w:val="22"/>
        </w:rPr>
        <w:t>in direct operating costs.</w:t>
      </w:r>
    </w:p>
    <w:p w14:paraId="3BAB0B6D" w14:textId="77777777" w:rsidR="00F96B6C" w:rsidRPr="000634A4" w:rsidRDefault="00F96B6C" w:rsidP="00BD49EC">
      <w:pPr>
        <w:ind w:firstLine="720"/>
        <w:jc w:val="both"/>
        <w:rPr>
          <w:spacing w:val="-2"/>
          <w:sz w:val="22"/>
          <w:szCs w:val="22"/>
        </w:rPr>
      </w:pPr>
    </w:p>
    <w:bookmarkEnd w:id="26"/>
    <w:bookmarkEnd w:id="27"/>
    <w:bookmarkEnd w:id="28"/>
    <w:p w14:paraId="6A667D1F" w14:textId="77777777" w:rsidR="009F5AAB" w:rsidRPr="000634A4" w:rsidRDefault="00A81DCD" w:rsidP="00BD49EC">
      <w:pPr>
        <w:jc w:val="both"/>
        <w:rPr>
          <w:i/>
          <w:iCs/>
          <w:sz w:val="22"/>
          <w:szCs w:val="22"/>
        </w:rPr>
      </w:pPr>
      <w:r w:rsidRPr="000634A4">
        <w:rPr>
          <w:sz w:val="22"/>
          <w:szCs w:val="22"/>
        </w:rPr>
        <w:t> </w:t>
      </w:r>
      <w:r w:rsidR="009F5AAB" w:rsidRPr="000634A4">
        <w:rPr>
          <w:i/>
          <w:iCs/>
          <w:sz w:val="22"/>
          <w:szCs w:val="22"/>
        </w:rPr>
        <w:t>Selling and Administrative Expenses</w:t>
      </w:r>
    </w:p>
    <w:p w14:paraId="78DAF49C" w14:textId="77777777" w:rsidR="009F5AAB" w:rsidRPr="000634A4" w:rsidRDefault="009F5AAB" w:rsidP="009F5AAB">
      <w:pPr>
        <w:jc w:val="both"/>
        <w:rPr>
          <w:i/>
          <w:iCs/>
          <w:sz w:val="22"/>
          <w:szCs w:val="22"/>
        </w:rPr>
      </w:pPr>
    </w:p>
    <w:p w14:paraId="61273037" w14:textId="1BFD5F69" w:rsidR="00D50FF4" w:rsidRPr="000634A4" w:rsidRDefault="00D50FF4" w:rsidP="00D50FF4">
      <w:pPr>
        <w:ind w:firstLine="720"/>
        <w:jc w:val="both"/>
        <w:rPr>
          <w:spacing w:val="-2"/>
          <w:sz w:val="22"/>
          <w:szCs w:val="22"/>
        </w:rPr>
      </w:pPr>
      <w:r w:rsidRPr="000634A4">
        <w:rPr>
          <w:spacing w:val="-2"/>
          <w:sz w:val="22"/>
          <w:szCs w:val="22"/>
        </w:rPr>
        <w:t xml:space="preserve">Selling and administrative expenses consist of sales, marketing, </w:t>
      </w:r>
      <w:r w:rsidR="005F50A1" w:rsidRPr="000634A4">
        <w:rPr>
          <w:spacing w:val="-2"/>
          <w:sz w:val="22"/>
          <w:szCs w:val="22"/>
        </w:rPr>
        <w:t>new services research and related software development</w:t>
      </w:r>
      <w:r w:rsidR="00CA708B" w:rsidRPr="000634A4">
        <w:rPr>
          <w:spacing w:val="-2"/>
          <w:sz w:val="22"/>
          <w:szCs w:val="22"/>
        </w:rPr>
        <w:t>,</w:t>
      </w:r>
      <w:r w:rsidR="000E68D4" w:rsidRPr="000634A4">
        <w:rPr>
          <w:spacing w:val="-2"/>
          <w:sz w:val="22"/>
          <w:szCs w:val="22"/>
        </w:rPr>
        <w:t xml:space="preserve"> administrative payroll and related costs including commissions, bonuses,</w:t>
      </w:r>
      <w:r w:rsidR="001C5BC2" w:rsidRPr="000634A4">
        <w:rPr>
          <w:spacing w:val="-2"/>
          <w:sz w:val="22"/>
          <w:szCs w:val="22"/>
        </w:rPr>
        <w:t xml:space="preserve"> </w:t>
      </w:r>
      <w:r w:rsidR="000E68D4" w:rsidRPr="000634A4">
        <w:rPr>
          <w:spacing w:val="-2"/>
          <w:sz w:val="22"/>
          <w:szCs w:val="22"/>
        </w:rPr>
        <w:t>stock-based compensation, marketing costs,</w:t>
      </w:r>
      <w:r w:rsidR="008B3108" w:rsidRPr="000634A4">
        <w:rPr>
          <w:spacing w:val="-2"/>
          <w:sz w:val="22"/>
          <w:szCs w:val="22"/>
        </w:rPr>
        <w:t xml:space="preserve"> third-party software</w:t>
      </w:r>
      <w:r w:rsidRPr="000634A4">
        <w:rPr>
          <w:spacing w:val="-2"/>
          <w:sz w:val="22"/>
          <w:szCs w:val="22"/>
        </w:rPr>
        <w:t xml:space="preserve">, advertising, trade conferences, professional fees and consultant costs, and other administrative overhead costs. </w:t>
      </w:r>
    </w:p>
    <w:p w14:paraId="74650F1A" w14:textId="77777777" w:rsidR="009F5AAB" w:rsidRPr="000634A4" w:rsidRDefault="009F5AAB" w:rsidP="009F5AAB">
      <w:pPr>
        <w:rPr>
          <w:b/>
          <w:bCs/>
          <w:sz w:val="22"/>
          <w:szCs w:val="22"/>
        </w:rPr>
      </w:pPr>
      <w:r w:rsidRPr="000634A4">
        <w:rPr>
          <w:b/>
          <w:bCs/>
          <w:sz w:val="22"/>
          <w:szCs w:val="22"/>
        </w:rPr>
        <w:t> </w:t>
      </w:r>
      <w:bookmarkStart w:id="29" w:name="_Hlk93431634"/>
    </w:p>
    <w:p w14:paraId="5CD0EC7B" w14:textId="23F091F4" w:rsidR="00BD49EC" w:rsidRPr="000634A4" w:rsidRDefault="00BD49EC" w:rsidP="00BD49EC">
      <w:pPr>
        <w:ind w:firstLine="720"/>
        <w:jc w:val="both"/>
        <w:rPr>
          <w:spacing w:val="-2"/>
          <w:sz w:val="22"/>
          <w:szCs w:val="22"/>
        </w:rPr>
      </w:pPr>
      <w:bookmarkStart w:id="30" w:name="_Hlk93428656"/>
      <w:r w:rsidRPr="000634A4">
        <w:rPr>
          <w:spacing w:val="-2"/>
          <w:sz w:val="22"/>
          <w:szCs w:val="22"/>
        </w:rPr>
        <w:t>Selling and administrative expenses were approximately $</w:t>
      </w:r>
      <w:r w:rsidR="002C132D" w:rsidRPr="000634A4">
        <w:rPr>
          <w:sz w:val="22"/>
          <w:szCs w:val="22"/>
        </w:rPr>
        <w:t>38</w:t>
      </w:r>
      <w:r w:rsidR="005525D1" w:rsidRPr="000634A4">
        <w:rPr>
          <w:sz w:val="22"/>
          <w:szCs w:val="22"/>
        </w:rPr>
        <w:t>.</w:t>
      </w:r>
      <w:r w:rsidR="002C132D" w:rsidRPr="000634A4">
        <w:rPr>
          <w:sz w:val="22"/>
          <w:szCs w:val="22"/>
        </w:rPr>
        <w:t>0</w:t>
      </w:r>
      <w:r w:rsidR="002C132D" w:rsidRPr="000634A4">
        <w:rPr>
          <w:spacing w:val="-2"/>
          <w:sz w:val="22"/>
          <w:szCs w:val="22"/>
        </w:rPr>
        <w:t> </w:t>
      </w:r>
      <w:r w:rsidRPr="000634A4">
        <w:rPr>
          <w:spacing w:val="-2"/>
          <w:sz w:val="22"/>
          <w:szCs w:val="22"/>
        </w:rPr>
        <w:t>million and $</w:t>
      </w:r>
      <w:r w:rsidR="005512C5" w:rsidRPr="000634A4">
        <w:rPr>
          <w:spacing w:val="-2"/>
          <w:sz w:val="22"/>
          <w:szCs w:val="22"/>
        </w:rPr>
        <w:t>27.9</w:t>
      </w:r>
      <w:r w:rsidRPr="000634A4">
        <w:rPr>
          <w:spacing w:val="-2"/>
          <w:sz w:val="22"/>
          <w:szCs w:val="22"/>
        </w:rPr>
        <w:t xml:space="preserve"> million for the years ended December 31, </w:t>
      </w:r>
      <w:r w:rsidR="005512C5" w:rsidRPr="000634A4">
        <w:rPr>
          <w:spacing w:val="-2"/>
          <w:sz w:val="22"/>
          <w:szCs w:val="22"/>
        </w:rPr>
        <w:t xml:space="preserve">2022 </w:t>
      </w:r>
      <w:r w:rsidRPr="000634A4">
        <w:rPr>
          <w:spacing w:val="-2"/>
          <w:sz w:val="22"/>
          <w:szCs w:val="22"/>
        </w:rPr>
        <w:t xml:space="preserve">and </w:t>
      </w:r>
      <w:r w:rsidR="005512C5" w:rsidRPr="000634A4">
        <w:rPr>
          <w:spacing w:val="-2"/>
          <w:sz w:val="22"/>
          <w:szCs w:val="22"/>
        </w:rPr>
        <w:t>2021</w:t>
      </w:r>
      <w:r w:rsidRPr="000634A4">
        <w:rPr>
          <w:spacing w:val="-2"/>
          <w:sz w:val="22"/>
          <w:szCs w:val="22"/>
        </w:rPr>
        <w:t>, respectively, an increase of $</w:t>
      </w:r>
      <w:r w:rsidR="002C132D" w:rsidRPr="000634A4">
        <w:rPr>
          <w:sz w:val="22"/>
          <w:szCs w:val="22"/>
        </w:rPr>
        <w:t>10</w:t>
      </w:r>
      <w:r w:rsidR="005525D1" w:rsidRPr="000634A4">
        <w:rPr>
          <w:sz w:val="22"/>
          <w:szCs w:val="22"/>
        </w:rPr>
        <w:t>.</w:t>
      </w:r>
      <w:r w:rsidR="002C132D" w:rsidRPr="000634A4">
        <w:rPr>
          <w:sz w:val="22"/>
          <w:szCs w:val="22"/>
        </w:rPr>
        <w:t>1</w:t>
      </w:r>
      <w:r w:rsidR="002C132D" w:rsidRPr="000634A4">
        <w:rPr>
          <w:spacing w:val="-2"/>
          <w:sz w:val="22"/>
          <w:szCs w:val="22"/>
        </w:rPr>
        <w:t xml:space="preserve"> </w:t>
      </w:r>
      <w:r w:rsidRPr="000634A4">
        <w:rPr>
          <w:spacing w:val="-2"/>
          <w:sz w:val="22"/>
          <w:szCs w:val="22"/>
        </w:rPr>
        <w:t xml:space="preserve">million or </w:t>
      </w:r>
      <w:r w:rsidR="006B3EE7" w:rsidRPr="000634A4">
        <w:rPr>
          <w:spacing w:val="-2"/>
          <w:sz w:val="22"/>
          <w:szCs w:val="22"/>
        </w:rPr>
        <w:t xml:space="preserve">approximately </w:t>
      </w:r>
      <w:r w:rsidR="00D16C3B" w:rsidRPr="000634A4">
        <w:rPr>
          <w:sz w:val="22"/>
          <w:szCs w:val="22"/>
        </w:rPr>
        <w:t>36</w:t>
      </w:r>
      <w:r w:rsidRPr="000634A4">
        <w:rPr>
          <w:spacing w:val="-2"/>
          <w:sz w:val="22"/>
          <w:szCs w:val="22"/>
        </w:rPr>
        <w:t>%.</w:t>
      </w:r>
      <w:r w:rsidR="000C42D9" w:rsidRPr="000634A4">
        <w:rPr>
          <w:spacing w:val="-2"/>
          <w:sz w:val="22"/>
          <w:szCs w:val="22"/>
        </w:rPr>
        <w:t xml:space="preserve"> The cost increase primarily supported our growth initiatives across all business segments. </w:t>
      </w:r>
      <w:r w:rsidR="001D61D4" w:rsidRPr="000634A4">
        <w:rPr>
          <w:spacing w:val="-2"/>
          <w:sz w:val="22"/>
          <w:szCs w:val="22"/>
        </w:rPr>
        <w:t>The selling and administrative cost increase includes</w:t>
      </w:r>
      <w:r w:rsidR="001D61D4" w:rsidRPr="000634A4">
        <w:rPr>
          <w:color w:val="0E101A"/>
          <w:sz w:val="22"/>
          <w:szCs w:val="22"/>
        </w:rPr>
        <w:t xml:space="preserve"> payroll related costs for new hires, stock-based compensation, commissions, incentives, and bonuses of $</w:t>
      </w:r>
      <w:r w:rsidR="00500BBD" w:rsidRPr="000634A4">
        <w:rPr>
          <w:spacing w:val="-2"/>
          <w:sz w:val="22"/>
          <w:szCs w:val="22"/>
        </w:rPr>
        <w:t>6.3</w:t>
      </w:r>
      <w:r w:rsidR="001D61D4" w:rsidRPr="000634A4">
        <w:rPr>
          <w:color w:val="0E101A"/>
          <w:sz w:val="22"/>
          <w:szCs w:val="22"/>
        </w:rPr>
        <w:t xml:space="preserve"> million</w:t>
      </w:r>
      <w:r w:rsidR="001D61D4" w:rsidRPr="000634A4">
        <w:rPr>
          <w:spacing w:val="-2"/>
          <w:sz w:val="22"/>
          <w:szCs w:val="22"/>
        </w:rPr>
        <w:t>,</w:t>
      </w:r>
      <w:r w:rsidR="001D61D4" w:rsidRPr="000634A4">
        <w:rPr>
          <w:color w:val="0E101A"/>
          <w:sz w:val="22"/>
          <w:szCs w:val="22"/>
        </w:rPr>
        <w:t xml:space="preserve"> </w:t>
      </w:r>
      <w:r w:rsidR="001D61D4" w:rsidRPr="000634A4">
        <w:rPr>
          <w:spacing w:val="-2"/>
          <w:sz w:val="22"/>
          <w:szCs w:val="22"/>
        </w:rPr>
        <w:t>marketing activity related costs of $</w:t>
      </w:r>
      <w:r w:rsidR="00500BBD" w:rsidRPr="000634A4">
        <w:rPr>
          <w:spacing w:val="-2"/>
          <w:sz w:val="22"/>
          <w:szCs w:val="22"/>
        </w:rPr>
        <w:t>1.6</w:t>
      </w:r>
      <w:r w:rsidR="001D61D4" w:rsidRPr="000634A4">
        <w:rPr>
          <w:sz w:val="22"/>
          <w:szCs w:val="22"/>
        </w:rPr>
        <w:t xml:space="preserve"> million,</w:t>
      </w:r>
      <w:r w:rsidR="001D61D4" w:rsidRPr="000634A4">
        <w:rPr>
          <w:spacing w:val="-2"/>
          <w:sz w:val="22"/>
          <w:szCs w:val="22"/>
        </w:rPr>
        <w:t xml:space="preserve"> recruitment and professional fees of $</w:t>
      </w:r>
      <w:r w:rsidR="00251E63" w:rsidRPr="000634A4">
        <w:rPr>
          <w:spacing w:val="-2"/>
          <w:sz w:val="22"/>
          <w:szCs w:val="22"/>
        </w:rPr>
        <w:t>0.6</w:t>
      </w:r>
      <w:r w:rsidR="001D61D4" w:rsidRPr="000634A4">
        <w:rPr>
          <w:spacing w:val="-2"/>
          <w:sz w:val="22"/>
          <w:szCs w:val="22"/>
        </w:rPr>
        <w:t xml:space="preserve"> million,</w:t>
      </w:r>
      <w:r w:rsidR="0003195A" w:rsidRPr="000634A4">
        <w:rPr>
          <w:spacing w:val="-2"/>
          <w:sz w:val="22"/>
          <w:szCs w:val="22"/>
        </w:rPr>
        <w:t xml:space="preserve"> </w:t>
      </w:r>
      <w:r w:rsidR="0029765F" w:rsidRPr="000634A4">
        <w:rPr>
          <w:spacing w:val="-2"/>
          <w:sz w:val="22"/>
          <w:szCs w:val="22"/>
        </w:rPr>
        <w:t xml:space="preserve">provisions for doubtful accounts of $0.4 million, </w:t>
      </w:r>
      <w:r w:rsidR="001D61D4" w:rsidRPr="000634A4">
        <w:rPr>
          <w:spacing w:val="-2"/>
          <w:sz w:val="22"/>
          <w:szCs w:val="22"/>
        </w:rPr>
        <w:t xml:space="preserve">severance costs of $0.3 million, </w:t>
      </w:r>
      <w:r w:rsidR="00234A87" w:rsidRPr="000634A4">
        <w:rPr>
          <w:spacing w:val="-2"/>
          <w:sz w:val="22"/>
          <w:szCs w:val="22"/>
        </w:rPr>
        <w:t xml:space="preserve">leasehold </w:t>
      </w:r>
      <w:r w:rsidR="004E1356" w:rsidRPr="000634A4">
        <w:rPr>
          <w:spacing w:val="-2"/>
          <w:sz w:val="22"/>
          <w:szCs w:val="22"/>
        </w:rPr>
        <w:t>improvement</w:t>
      </w:r>
      <w:r w:rsidR="000E2BE9" w:rsidRPr="000634A4">
        <w:rPr>
          <w:spacing w:val="-2"/>
          <w:sz w:val="22"/>
          <w:szCs w:val="22"/>
        </w:rPr>
        <w:t xml:space="preserve"> </w:t>
      </w:r>
      <w:r w:rsidR="004E1356" w:rsidRPr="000634A4">
        <w:rPr>
          <w:spacing w:val="-2"/>
          <w:sz w:val="22"/>
          <w:szCs w:val="22"/>
        </w:rPr>
        <w:t>write-offs</w:t>
      </w:r>
      <w:r w:rsidR="00C92509" w:rsidRPr="000634A4">
        <w:rPr>
          <w:spacing w:val="-2"/>
          <w:sz w:val="22"/>
          <w:szCs w:val="22"/>
        </w:rPr>
        <w:t xml:space="preserve"> </w:t>
      </w:r>
      <w:r w:rsidR="00371D1B" w:rsidRPr="000634A4">
        <w:rPr>
          <w:spacing w:val="-2"/>
          <w:sz w:val="22"/>
          <w:szCs w:val="22"/>
        </w:rPr>
        <w:t xml:space="preserve">from lease terminations </w:t>
      </w:r>
      <w:r w:rsidR="00C92509" w:rsidRPr="000634A4">
        <w:rPr>
          <w:spacing w:val="-2"/>
          <w:sz w:val="22"/>
          <w:szCs w:val="22"/>
        </w:rPr>
        <w:t>of $0.2 million</w:t>
      </w:r>
      <w:r w:rsidR="00B65644" w:rsidRPr="000634A4">
        <w:rPr>
          <w:spacing w:val="-2"/>
          <w:sz w:val="22"/>
          <w:szCs w:val="22"/>
        </w:rPr>
        <w:t>,</w:t>
      </w:r>
      <w:r w:rsidR="00FB1A49" w:rsidRPr="000634A4">
        <w:rPr>
          <w:spacing w:val="-2"/>
          <w:sz w:val="22"/>
          <w:szCs w:val="22"/>
        </w:rPr>
        <w:t xml:space="preserve"> </w:t>
      </w:r>
      <w:r w:rsidR="001D61D4" w:rsidRPr="000634A4">
        <w:rPr>
          <w:spacing w:val="-2"/>
          <w:sz w:val="22"/>
          <w:szCs w:val="22"/>
        </w:rPr>
        <w:t>an unfavorable impact of foreign exchange rate fluctuations of $0.</w:t>
      </w:r>
      <w:r w:rsidR="00712C0C" w:rsidRPr="000634A4">
        <w:rPr>
          <w:spacing w:val="-2"/>
          <w:sz w:val="22"/>
          <w:szCs w:val="22"/>
        </w:rPr>
        <w:t>1</w:t>
      </w:r>
      <w:r w:rsidR="001D61D4" w:rsidRPr="000634A4">
        <w:rPr>
          <w:spacing w:val="-2"/>
          <w:sz w:val="22"/>
          <w:szCs w:val="22"/>
        </w:rPr>
        <w:t xml:space="preserve"> million</w:t>
      </w:r>
      <w:r w:rsidR="0029765F" w:rsidRPr="000634A4">
        <w:rPr>
          <w:spacing w:val="-2"/>
          <w:sz w:val="22"/>
          <w:szCs w:val="22"/>
        </w:rPr>
        <w:t xml:space="preserve"> </w:t>
      </w:r>
      <w:r w:rsidR="001D61D4" w:rsidRPr="000634A4">
        <w:rPr>
          <w:color w:val="0E101A"/>
          <w:sz w:val="22"/>
          <w:szCs w:val="22"/>
        </w:rPr>
        <w:t xml:space="preserve">and </w:t>
      </w:r>
      <w:r w:rsidR="00E607BE" w:rsidRPr="000634A4">
        <w:rPr>
          <w:color w:val="0E101A"/>
          <w:sz w:val="22"/>
          <w:szCs w:val="22"/>
        </w:rPr>
        <w:t>other selling and administrative costs of</w:t>
      </w:r>
      <w:r w:rsidR="001D61D4" w:rsidRPr="000634A4">
        <w:rPr>
          <w:color w:val="0E101A"/>
          <w:sz w:val="22"/>
          <w:szCs w:val="22"/>
        </w:rPr>
        <w:t xml:space="preserve"> $</w:t>
      </w:r>
      <w:r w:rsidR="001D61D4" w:rsidRPr="000634A4">
        <w:rPr>
          <w:spacing w:val="-2"/>
          <w:sz w:val="22"/>
          <w:szCs w:val="22"/>
        </w:rPr>
        <w:t>0.</w:t>
      </w:r>
      <w:r w:rsidR="004E2BA8" w:rsidRPr="000634A4">
        <w:rPr>
          <w:spacing w:val="-2"/>
          <w:sz w:val="22"/>
          <w:szCs w:val="22"/>
        </w:rPr>
        <w:t>6</w:t>
      </w:r>
      <w:r w:rsidR="004E2BA8" w:rsidRPr="000634A4">
        <w:rPr>
          <w:color w:val="0E101A"/>
          <w:sz w:val="22"/>
          <w:szCs w:val="22"/>
        </w:rPr>
        <w:t xml:space="preserve"> </w:t>
      </w:r>
      <w:r w:rsidR="001D61D4" w:rsidRPr="000634A4">
        <w:rPr>
          <w:color w:val="0E101A"/>
          <w:sz w:val="22"/>
          <w:szCs w:val="22"/>
        </w:rPr>
        <w:t>million</w:t>
      </w:r>
      <w:r w:rsidR="001D61D4" w:rsidRPr="000634A4">
        <w:rPr>
          <w:spacing w:val="-2"/>
          <w:sz w:val="22"/>
          <w:szCs w:val="22"/>
        </w:rPr>
        <w:t xml:space="preserve">. </w:t>
      </w:r>
      <w:r w:rsidRPr="000634A4">
        <w:rPr>
          <w:spacing w:val="-2"/>
          <w:sz w:val="22"/>
          <w:szCs w:val="22"/>
        </w:rPr>
        <w:t xml:space="preserve"> Selling and administrative expenses </w:t>
      </w:r>
      <w:r w:rsidRPr="000634A4">
        <w:rPr>
          <w:sz w:val="22"/>
          <w:szCs w:val="22"/>
        </w:rPr>
        <w:t xml:space="preserve">as a percentage of total revenues were </w:t>
      </w:r>
      <w:r w:rsidR="006C555C" w:rsidRPr="000634A4">
        <w:rPr>
          <w:spacing w:val="-2"/>
          <w:sz w:val="22"/>
          <w:szCs w:val="22"/>
        </w:rPr>
        <w:t>approximately</w:t>
      </w:r>
      <w:r w:rsidR="006C555C" w:rsidRPr="000634A4">
        <w:rPr>
          <w:sz w:val="22"/>
          <w:szCs w:val="22"/>
        </w:rPr>
        <w:t xml:space="preserve"> </w:t>
      </w:r>
      <w:r w:rsidR="007464E1" w:rsidRPr="000634A4">
        <w:rPr>
          <w:sz w:val="22"/>
          <w:szCs w:val="22"/>
        </w:rPr>
        <w:t>48</w:t>
      </w:r>
      <w:r w:rsidRPr="000634A4">
        <w:rPr>
          <w:sz w:val="22"/>
          <w:szCs w:val="22"/>
        </w:rPr>
        <w:t xml:space="preserve">% and </w:t>
      </w:r>
      <w:r w:rsidR="00D2763E" w:rsidRPr="000634A4">
        <w:rPr>
          <w:sz w:val="22"/>
          <w:szCs w:val="22"/>
        </w:rPr>
        <w:t>40</w:t>
      </w:r>
      <w:r w:rsidRPr="000634A4">
        <w:rPr>
          <w:sz w:val="22"/>
          <w:szCs w:val="22"/>
        </w:rPr>
        <w:t>% for the years ended December 31</w:t>
      </w:r>
      <w:r w:rsidRPr="000634A4">
        <w:rPr>
          <w:spacing w:val="-2"/>
          <w:sz w:val="22"/>
          <w:szCs w:val="22"/>
        </w:rPr>
        <w:t xml:space="preserve">, </w:t>
      </w:r>
      <w:r w:rsidR="00D2763E" w:rsidRPr="000634A4">
        <w:rPr>
          <w:spacing w:val="-2"/>
          <w:sz w:val="22"/>
          <w:szCs w:val="22"/>
        </w:rPr>
        <w:t xml:space="preserve">2022 </w:t>
      </w:r>
      <w:r w:rsidRPr="000634A4">
        <w:rPr>
          <w:sz w:val="22"/>
          <w:szCs w:val="22"/>
        </w:rPr>
        <w:t xml:space="preserve">and </w:t>
      </w:r>
      <w:r w:rsidR="00D2763E" w:rsidRPr="000634A4">
        <w:rPr>
          <w:sz w:val="22"/>
          <w:szCs w:val="22"/>
        </w:rPr>
        <w:t>2021</w:t>
      </w:r>
      <w:r w:rsidRPr="000634A4">
        <w:rPr>
          <w:sz w:val="22"/>
          <w:szCs w:val="22"/>
        </w:rPr>
        <w:t xml:space="preserve">, </w:t>
      </w:r>
      <w:r w:rsidRPr="000634A4">
        <w:rPr>
          <w:spacing w:val="-2"/>
          <w:sz w:val="22"/>
          <w:szCs w:val="22"/>
        </w:rPr>
        <w:t>respectively. The increase in selling and administrative expenses as a percentage of revenues during the year was primarily due to increased selling and administrative costs, offset in part by an increase in revenues.</w:t>
      </w:r>
    </w:p>
    <w:bookmarkEnd w:id="30"/>
    <w:p w14:paraId="131008C5" w14:textId="13AFBA3A" w:rsidR="00BD49EC" w:rsidRPr="000634A4" w:rsidRDefault="00BD49EC" w:rsidP="00BD49EC">
      <w:pPr>
        <w:ind w:firstLine="720"/>
        <w:jc w:val="both"/>
        <w:rPr>
          <w:spacing w:val="-2"/>
          <w:sz w:val="22"/>
          <w:szCs w:val="22"/>
        </w:rPr>
      </w:pPr>
    </w:p>
    <w:p w14:paraId="692D37D1" w14:textId="6E06B695" w:rsidR="00BD49EC" w:rsidRPr="000634A4" w:rsidRDefault="00BD49EC" w:rsidP="00BD49EC">
      <w:pPr>
        <w:ind w:firstLine="720"/>
        <w:jc w:val="both"/>
        <w:rPr>
          <w:spacing w:val="-2"/>
          <w:sz w:val="22"/>
          <w:szCs w:val="22"/>
        </w:rPr>
      </w:pPr>
      <w:r w:rsidRPr="000634A4">
        <w:rPr>
          <w:sz w:val="22"/>
          <w:szCs w:val="22"/>
        </w:rPr>
        <w:t>Selling and administrative expenses for the DDS segment were approximately $</w:t>
      </w:r>
      <w:r w:rsidR="007464E1" w:rsidRPr="000634A4">
        <w:rPr>
          <w:sz w:val="22"/>
          <w:szCs w:val="22"/>
        </w:rPr>
        <w:t>20.</w:t>
      </w:r>
      <w:r w:rsidR="00B90871" w:rsidRPr="000634A4">
        <w:rPr>
          <w:sz w:val="22"/>
          <w:szCs w:val="22"/>
        </w:rPr>
        <w:t xml:space="preserve">7 </w:t>
      </w:r>
      <w:r w:rsidRPr="000634A4">
        <w:rPr>
          <w:spacing w:val="-2"/>
          <w:sz w:val="22"/>
          <w:szCs w:val="22"/>
        </w:rPr>
        <w:t>million and $</w:t>
      </w:r>
      <w:r w:rsidR="00D2763E" w:rsidRPr="000634A4">
        <w:rPr>
          <w:spacing w:val="-2"/>
          <w:sz w:val="22"/>
          <w:szCs w:val="22"/>
        </w:rPr>
        <w:t>15</w:t>
      </w:r>
      <w:r w:rsidRPr="000634A4">
        <w:rPr>
          <w:spacing w:val="-2"/>
          <w:sz w:val="22"/>
          <w:szCs w:val="22"/>
        </w:rPr>
        <w:t>.</w:t>
      </w:r>
      <w:r w:rsidR="00D2763E" w:rsidRPr="000634A4">
        <w:rPr>
          <w:spacing w:val="-2"/>
          <w:sz w:val="22"/>
          <w:szCs w:val="22"/>
        </w:rPr>
        <w:t xml:space="preserve">5 </w:t>
      </w:r>
      <w:r w:rsidRPr="000634A4">
        <w:rPr>
          <w:spacing w:val="-2"/>
          <w:sz w:val="22"/>
          <w:szCs w:val="22"/>
        </w:rPr>
        <w:t xml:space="preserve">million for the years ended December 31, </w:t>
      </w:r>
      <w:r w:rsidR="00D2763E" w:rsidRPr="000634A4">
        <w:rPr>
          <w:spacing w:val="-2"/>
          <w:sz w:val="22"/>
          <w:szCs w:val="22"/>
        </w:rPr>
        <w:t xml:space="preserve">2022 </w:t>
      </w:r>
      <w:r w:rsidRPr="000634A4">
        <w:rPr>
          <w:spacing w:val="-2"/>
          <w:sz w:val="22"/>
          <w:szCs w:val="22"/>
        </w:rPr>
        <w:t xml:space="preserve">and </w:t>
      </w:r>
      <w:r w:rsidR="00D2763E" w:rsidRPr="000634A4">
        <w:rPr>
          <w:spacing w:val="-2"/>
          <w:sz w:val="22"/>
          <w:szCs w:val="22"/>
        </w:rPr>
        <w:t xml:space="preserve">2021 </w:t>
      </w:r>
      <w:r w:rsidRPr="000634A4">
        <w:rPr>
          <w:spacing w:val="-2"/>
          <w:sz w:val="22"/>
          <w:szCs w:val="22"/>
        </w:rPr>
        <w:t>respectively, an increase of $</w:t>
      </w:r>
      <w:r w:rsidR="0003195A" w:rsidRPr="000634A4">
        <w:rPr>
          <w:sz w:val="22"/>
          <w:szCs w:val="22"/>
        </w:rPr>
        <w:t>5</w:t>
      </w:r>
      <w:r w:rsidR="00790348" w:rsidRPr="000634A4">
        <w:rPr>
          <w:sz w:val="22"/>
          <w:szCs w:val="22"/>
        </w:rPr>
        <w:t>.</w:t>
      </w:r>
      <w:r w:rsidR="0003195A" w:rsidRPr="000634A4">
        <w:rPr>
          <w:sz w:val="22"/>
          <w:szCs w:val="22"/>
        </w:rPr>
        <w:t>2</w:t>
      </w:r>
      <w:r w:rsidR="0003195A" w:rsidRPr="000634A4">
        <w:rPr>
          <w:spacing w:val="-2"/>
          <w:sz w:val="22"/>
          <w:szCs w:val="22"/>
        </w:rPr>
        <w:t xml:space="preserve"> </w:t>
      </w:r>
      <w:r w:rsidRPr="000634A4">
        <w:rPr>
          <w:spacing w:val="-2"/>
          <w:sz w:val="22"/>
          <w:szCs w:val="22"/>
        </w:rPr>
        <w:t xml:space="preserve">million or </w:t>
      </w:r>
      <w:r w:rsidR="006B3EE7" w:rsidRPr="000634A4">
        <w:rPr>
          <w:spacing w:val="-2"/>
          <w:sz w:val="22"/>
          <w:szCs w:val="22"/>
        </w:rPr>
        <w:t xml:space="preserve">approximately </w:t>
      </w:r>
      <w:r w:rsidR="00790348" w:rsidRPr="000634A4">
        <w:rPr>
          <w:sz w:val="22"/>
          <w:szCs w:val="22"/>
        </w:rPr>
        <w:t>32</w:t>
      </w:r>
      <w:r w:rsidRPr="000634A4">
        <w:rPr>
          <w:spacing w:val="-2"/>
          <w:sz w:val="22"/>
          <w:szCs w:val="22"/>
        </w:rPr>
        <w:t xml:space="preserve">%. </w:t>
      </w:r>
      <w:r w:rsidR="00327526" w:rsidRPr="000634A4">
        <w:rPr>
          <w:spacing w:val="-2"/>
          <w:sz w:val="22"/>
          <w:szCs w:val="22"/>
        </w:rPr>
        <w:t xml:space="preserve">The cost increase primarily supported our growth initiatives. </w:t>
      </w:r>
      <w:r w:rsidR="00724FC3" w:rsidRPr="000634A4">
        <w:rPr>
          <w:spacing w:val="-2"/>
          <w:sz w:val="22"/>
          <w:szCs w:val="22"/>
        </w:rPr>
        <w:t xml:space="preserve">The selling and administrative cost increase includes payroll related costs for new hires, </w:t>
      </w:r>
      <w:r w:rsidR="00724FC3" w:rsidRPr="000634A4">
        <w:rPr>
          <w:color w:val="0E101A"/>
          <w:sz w:val="22"/>
          <w:szCs w:val="22"/>
        </w:rPr>
        <w:t>stock-based compensation, commissions, incentives, and bonuses of $</w:t>
      </w:r>
      <w:r w:rsidR="00724FC3" w:rsidRPr="000634A4">
        <w:rPr>
          <w:spacing w:val="-2"/>
          <w:sz w:val="22"/>
          <w:szCs w:val="22"/>
        </w:rPr>
        <w:t>2.</w:t>
      </w:r>
      <w:r w:rsidR="00FE5626" w:rsidRPr="000634A4">
        <w:rPr>
          <w:spacing w:val="-2"/>
          <w:sz w:val="22"/>
          <w:szCs w:val="22"/>
        </w:rPr>
        <w:t>9</w:t>
      </w:r>
      <w:r w:rsidR="00724FC3" w:rsidRPr="000634A4">
        <w:rPr>
          <w:color w:val="0E101A"/>
          <w:sz w:val="22"/>
          <w:szCs w:val="22"/>
        </w:rPr>
        <w:t xml:space="preserve"> million, </w:t>
      </w:r>
      <w:r w:rsidR="00724FC3" w:rsidRPr="000634A4">
        <w:rPr>
          <w:spacing w:val="-2"/>
          <w:sz w:val="22"/>
          <w:szCs w:val="22"/>
        </w:rPr>
        <w:t>marketing activity related costs of $</w:t>
      </w:r>
      <w:r w:rsidR="00FE5626" w:rsidRPr="000634A4">
        <w:rPr>
          <w:spacing w:val="-2"/>
          <w:sz w:val="22"/>
          <w:szCs w:val="22"/>
        </w:rPr>
        <w:t>0.9</w:t>
      </w:r>
      <w:r w:rsidR="00724FC3" w:rsidRPr="000634A4">
        <w:rPr>
          <w:spacing w:val="-2"/>
          <w:sz w:val="22"/>
          <w:szCs w:val="22"/>
        </w:rPr>
        <w:t xml:space="preserve"> million, recruitment and professional fees of $0.</w:t>
      </w:r>
      <w:r w:rsidR="00E000DB" w:rsidRPr="000634A4">
        <w:rPr>
          <w:spacing w:val="-2"/>
          <w:sz w:val="22"/>
          <w:szCs w:val="22"/>
        </w:rPr>
        <w:t>4</w:t>
      </w:r>
      <w:r w:rsidR="00724FC3" w:rsidRPr="000634A4">
        <w:rPr>
          <w:spacing w:val="-2"/>
          <w:sz w:val="22"/>
          <w:szCs w:val="22"/>
        </w:rPr>
        <w:t xml:space="preserve"> million</w:t>
      </w:r>
      <w:r w:rsidR="007C1C4F" w:rsidRPr="000634A4">
        <w:rPr>
          <w:spacing w:val="-2"/>
          <w:sz w:val="22"/>
          <w:szCs w:val="22"/>
        </w:rPr>
        <w:t>,</w:t>
      </w:r>
      <w:r w:rsidR="00E000DB" w:rsidRPr="000634A4">
        <w:rPr>
          <w:color w:val="0E101A"/>
          <w:sz w:val="22"/>
          <w:szCs w:val="22"/>
        </w:rPr>
        <w:t xml:space="preserve"> </w:t>
      </w:r>
      <w:r w:rsidR="0003195A" w:rsidRPr="000634A4">
        <w:rPr>
          <w:spacing w:val="-2"/>
          <w:sz w:val="22"/>
          <w:szCs w:val="22"/>
        </w:rPr>
        <w:lastRenderedPageBreak/>
        <w:t xml:space="preserve">provisions for doubtful accounts of $0.3 million, </w:t>
      </w:r>
      <w:r w:rsidR="002373D1" w:rsidRPr="000634A4">
        <w:rPr>
          <w:spacing w:val="-2"/>
          <w:sz w:val="22"/>
          <w:szCs w:val="22"/>
        </w:rPr>
        <w:t>leasehold improvement write-offs from lease terminations of $0.1 million,</w:t>
      </w:r>
      <w:r w:rsidR="00E82D87" w:rsidRPr="000634A4">
        <w:rPr>
          <w:spacing w:val="-2"/>
          <w:sz w:val="22"/>
          <w:szCs w:val="22"/>
        </w:rPr>
        <w:t xml:space="preserve"> </w:t>
      </w:r>
      <w:r w:rsidR="00E000DB" w:rsidRPr="000634A4">
        <w:rPr>
          <w:color w:val="0E101A"/>
          <w:sz w:val="22"/>
          <w:szCs w:val="22"/>
        </w:rPr>
        <w:t xml:space="preserve">and </w:t>
      </w:r>
      <w:r w:rsidR="00083C0A" w:rsidRPr="000634A4">
        <w:rPr>
          <w:color w:val="0E101A"/>
          <w:sz w:val="22"/>
          <w:szCs w:val="22"/>
        </w:rPr>
        <w:t>other selling and administrative costs of</w:t>
      </w:r>
      <w:r w:rsidR="00E000DB" w:rsidRPr="000634A4">
        <w:rPr>
          <w:color w:val="0E101A"/>
          <w:sz w:val="22"/>
          <w:szCs w:val="22"/>
        </w:rPr>
        <w:t xml:space="preserve"> $</w:t>
      </w:r>
      <w:r w:rsidR="00E000DB" w:rsidRPr="000634A4">
        <w:rPr>
          <w:spacing w:val="-2"/>
          <w:sz w:val="22"/>
          <w:szCs w:val="22"/>
        </w:rPr>
        <w:t>0.</w:t>
      </w:r>
      <w:r w:rsidR="001D25C0" w:rsidRPr="000634A4">
        <w:rPr>
          <w:spacing w:val="-2"/>
          <w:sz w:val="22"/>
          <w:szCs w:val="22"/>
        </w:rPr>
        <w:t>6</w:t>
      </w:r>
      <w:r w:rsidR="001E68EA" w:rsidRPr="000634A4">
        <w:rPr>
          <w:color w:val="0E101A"/>
          <w:sz w:val="22"/>
          <w:szCs w:val="22"/>
        </w:rPr>
        <w:t xml:space="preserve"> </w:t>
      </w:r>
      <w:r w:rsidR="00E000DB" w:rsidRPr="000634A4">
        <w:rPr>
          <w:color w:val="0E101A"/>
          <w:sz w:val="22"/>
          <w:szCs w:val="22"/>
        </w:rPr>
        <w:t>million</w:t>
      </w:r>
      <w:r w:rsidR="00E000DB" w:rsidRPr="000634A4">
        <w:rPr>
          <w:spacing w:val="-2"/>
          <w:sz w:val="22"/>
          <w:szCs w:val="22"/>
        </w:rPr>
        <w:t xml:space="preserve">. </w:t>
      </w:r>
      <w:r w:rsidR="009C538A" w:rsidRPr="000634A4">
        <w:rPr>
          <w:sz w:val="22"/>
          <w:szCs w:val="22"/>
        </w:rPr>
        <w:t>S</w:t>
      </w:r>
      <w:r w:rsidRPr="000634A4">
        <w:rPr>
          <w:sz w:val="22"/>
          <w:szCs w:val="22"/>
        </w:rPr>
        <w:t xml:space="preserve">elling and administrative expenses </w:t>
      </w:r>
      <w:r w:rsidR="009C538A" w:rsidRPr="000634A4">
        <w:rPr>
          <w:sz w:val="22"/>
          <w:szCs w:val="22"/>
        </w:rPr>
        <w:t xml:space="preserve">for the DDS segment </w:t>
      </w:r>
      <w:r w:rsidRPr="000634A4">
        <w:rPr>
          <w:sz w:val="22"/>
          <w:szCs w:val="22"/>
        </w:rPr>
        <w:t xml:space="preserve">as a percentage of DDS segment </w:t>
      </w:r>
      <w:r w:rsidR="009C538A" w:rsidRPr="000634A4">
        <w:rPr>
          <w:sz w:val="22"/>
          <w:szCs w:val="22"/>
        </w:rPr>
        <w:t xml:space="preserve">revenue </w:t>
      </w:r>
      <w:r w:rsidRPr="000634A4">
        <w:rPr>
          <w:sz w:val="22"/>
          <w:szCs w:val="22"/>
        </w:rPr>
        <w:t>were</w:t>
      </w:r>
      <w:r w:rsidR="006C555C" w:rsidRPr="000634A4">
        <w:rPr>
          <w:sz w:val="22"/>
          <w:szCs w:val="22"/>
        </w:rPr>
        <w:t xml:space="preserve"> </w:t>
      </w:r>
      <w:r w:rsidR="006C555C" w:rsidRPr="000634A4">
        <w:rPr>
          <w:spacing w:val="-2"/>
          <w:sz w:val="22"/>
          <w:szCs w:val="22"/>
        </w:rPr>
        <w:t>approximately</w:t>
      </w:r>
      <w:r w:rsidRPr="000634A4">
        <w:rPr>
          <w:sz w:val="22"/>
          <w:szCs w:val="22"/>
        </w:rPr>
        <w:t xml:space="preserve"> </w:t>
      </w:r>
      <w:r w:rsidR="00F67CB3" w:rsidRPr="000634A4">
        <w:rPr>
          <w:sz w:val="22"/>
          <w:szCs w:val="22"/>
        </w:rPr>
        <w:t>37</w:t>
      </w:r>
      <w:r w:rsidRPr="000634A4">
        <w:rPr>
          <w:sz w:val="22"/>
          <w:szCs w:val="22"/>
        </w:rPr>
        <w:t xml:space="preserve">% and </w:t>
      </w:r>
      <w:r w:rsidR="00D2763E" w:rsidRPr="000634A4">
        <w:rPr>
          <w:sz w:val="22"/>
          <w:szCs w:val="22"/>
        </w:rPr>
        <w:t>29</w:t>
      </w:r>
      <w:r w:rsidRPr="000634A4">
        <w:rPr>
          <w:sz w:val="22"/>
          <w:szCs w:val="22"/>
        </w:rPr>
        <w:t xml:space="preserve">% for the years ended December 31, </w:t>
      </w:r>
      <w:r w:rsidR="00D2763E" w:rsidRPr="000634A4">
        <w:rPr>
          <w:sz w:val="22"/>
          <w:szCs w:val="22"/>
        </w:rPr>
        <w:t xml:space="preserve">2022 </w:t>
      </w:r>
      <w:r w:rsidRPr="000634A4">
        <w:rPr>
          <w:sz w:val="22"/>
          <w:szCs w:val="22"/>
        </w:rPr>
        <w:t xml:space="preserve">and </w:t>
      </w:r>
      <w:r w:rsidR="00D2763E" w:rsidRPr="000634A4">
        <w:rPr>
          <w:sz w:val="22"/>
          <w:szCs w:val="22"/>
        </w:rPr>
        <w:t>2021</w:t>
      </w:r>
      <w:r w:rsidRPr="000634A4">
        <w:rPr>
          <w:sz w:val="22"/>
          <w:szCs w:val="22"/>
        </w:rPr>
        <w:t xml:space="preserve">, respectively. The increase in selling and administrative expenses </w:t>
      </w:r>
      <w:r w:rsidR="004E055C">
        <w:rPr>
          <w:sz w:val="22"/>
          <w:szCs w:val="22"/>
        </w:rPr>
        <w:t xml:space="preserve">of the DDS segment </w:t>
      </w:r>
      <w:r w:rsidRPr="000634A4">
        <w:rPr>
          <w:sz w:val="22"/>
          <w:szCs w:val="22"/>
        </w:rPr>
        <w:t>as a percentage of</w:t>
      </w:r>
      <w:r w:rsidR="004E055C">
        <w:rPr>
          <w:sz w:val="22"/>
          <w:szCs w:val="22"/>
        </w:rPr>
        <w:t xml:space="preserve"> DDS</w:t>
      </w:r>
      <w:r w:rsidR="00801771">
        <w:rPr>
          <w:sz w:val="22"/>
          <w:szCs w:val="22"/>
        </w:rPr>
        <w:t xml:space="preserve"> </w:t>
      </w:r>
      <w:r w:rsidR="004E055C">
        <w:rPr>
          <w:sz w:val="22"/>
          <w:szCs w:val="22"/>
        </w:rPr>
        <w:t>segment</w:t>
      </w:r>
      <w:r w:rsidRPr="000634A4">
        <w:rPr>
          <w:sz w:val="22"/>
          <w:szCs w:val="22"/>
        </w:rPr>
        <w:t xml:space="preserve"> revenues </w:t>
      </w:r>
      <w:r w:rsidRPr="000634A4">
        <w:rPr>
          <w:spacing w:val="-2"/>
          <w:sz w:val="22"/>
          <w:szCs w:val="22"/>
        </w:rPr>
        <w:t xml:space="preserve">was due to increased selling and administrative expenses, offset </w:t>
      </w:r>
      <w:r w:rsidR="00AA2549" w:rsidRPr="000634A4">
        <w:rPr>
          <w:spacing w:val="-2"/>
          <w:sz w:val="22"/>
          <w:szCs w:val="22"/>
        </w:rPr>
        <w:t xml:space="preserve">in part </w:t>
      </w:r>
      <w:r w:rsidRPr="000634A4">
        <w:rPr>
          <w:spacing w:val="-2"/>
          <w:sz w:val="22"/>
          <w:szCs w:val="22"/>
        </w:rPr>
        <w:t>by an increase in revenues.</w:t>
      </w:r>
    </w:p>
    <w:bookmarkEnd w:id="29"/>
    <w:p w14:paraId="212C6A46" w14:textId="77777777" w:rsidR="009F5AAB" w:rsidRPr="000634A4" w:rsidRDefault="009F5AAB" w:rsidP="009F5AAB">
      <w:pPr>
        <w:ind w:firstLine="720"/>
        <w:jc w:val="both"/>
        <w:rPr>
          <w:spacing w:val="-2"/>
          <w:sz w:val="22"/>
          <w:szCs w:val="22"/>
        </w:rPr>
      </w:pPr>
    </w:p>
    <w:p w14:paraId="701B45B0" w14:textId="6FF6683E" w:rsidR="00226209" w:rsidRPr="00D204A8" w:rsidRDefault="009F5AAB" w:rsidP="00226209">
      <w:pPr>
        <w:ind w:firstLine="720"/>
        <w:jc w:val="both"/>
        <w:rPr>
          <w:spacing w:val="-2"/>
          <w:sz w:val="22"/>
          <w:szCs w:val="22"/>
        </w:rPr>
      </w:pPr>
      <w:r w:rsidRPr="000634A4">
        <w:rPr>
          <w:spacing w:val="-2"/>
          <w:sz w:val="22"/>
          <w:szCs w:val="22"/>
        </w:rPr>
        <w:t xml:space="preserve">Selling and administrative expenses for the Synodex segment </w:t>
      </w:r>
      <w:r w:rsidR="009C4349" w:rsidRPr="000634A4">
        <w:rPr>
          <w:spacing w:val="-2"/>
          <w:sz w:val="22"/>
          <w:szCs w:val="22"/>
        </w:rPr>
        <w:t>were</w:t>
      </w:r>
      <w:r w:rsidRPr="000634A4">
        <w:rPr>
          <w:spacing w:val="-2"/>
          <w:sz w:val="22"/>
          <w:szCs w:val="22"/>
        </w:rPr>
        <w:t xml:space="preserve"> </w:t>
      </w:r>
      <w:r w:rsidR="00CA2421" w:rsidRPr="000634A4">
        <w:rPr>
          <w:sz w:val="22"/>
          <w:szCs w:val="22"/>
        </w:rPr>
        <w:t>$</w:t>
      </w:r>
      <w:r w:rsidR="00B40545" w:rsidRPr="000634A4">
        <w:rPr>
          <w:sz w:val="22"/>
          <w:szCs w:val="22"/>
        </w:rPr>
        <w:t xml:space="preserve">1.7 </w:t>
      </w:r>
      <w:r w:rsidRPr="000634A4">
        <w:rPr>
          <w:spacing w:val="-2"/>
          <w:sz w:val="22"/>
          <w:szCs w:val="22"/>
        </w:rPr>
        <w:t xml:space="preserve">million </w:t>
      </w:r>
      <w:r w:rsidR="009C4349" w:rsidRPr="000634A4">
        <w:rPr>
          <w:spacing w:val="-2"/>
          <w:sz w:val="22"/>
          <w:szCs w:val="22"/>
        </w:rPr>
        <w:t xml:space="preserve">and </w:t>
      </w:r>
      <w:r w:rsidRPr="000634A4">
        <w:rPr>
          <w:spacing w:val="-2"/>
          <w:sz w:val="22"/>
          <w:szCs w:val="22"/>
        </w:rPr>
        <w:t>$</w:t>
      </w:r>
      <w:r w:rsidR="00D2763E" w:rsidRPr="000634A4">
        <w:rPr>
          <w:spacing w:val="-2"/>
          <w:sz w:val="22"/>
          <w:szCs w:val="22"/>
        </w:rPr>
        <w:t>1.3</w:t>
      </w:r>
      <w:r w:rsidRPr="000634A4">
        <w:rPr>
          <w:spacing w:val="-2"/>
          <w:sz w:val="22"/>
          <w:szCs w:val="22"/>
        </w:rPr>
        <w:t xml:space="preserve"> million for the year</w:t>
      </w:r>
      <w:r w:rsidR="009C4349" w:rsidRPr="000634A4">
        <w:rPr>
          <w:spacing w:val="-2"/>
          <w:sz w:val="22"/>
          <w:szCs w:val="22"/>
        </w:rPr>
        <w:t>s</w:t>
      </w:r>
      <w:r w:rsidRPr="000634A4">
        <w:rPr>
          <w:spacing w:val="-2"/>
          <w:sz w:val="22"/>
          <w:szCs w:val="22"/>
        </w:rPr>
        <w:t xml:space="preserve"> ended December 31, </w:t>
      </w:r>
      <w:r w:rsidR="00D2763E" w:rsidRPr="000634A4">
        <w:rPr>
          <w:spacing w:val="-2"/>
          <w:sz w:val="22"/>
          <w:szCs w:val="22"/>
        </w:rPr>
        <w:t xml:space="preserve">2022 </w:t>
      </w:r>
      <w:r w:rsidR="009C4349" w:rsidRPr="000634A4">
        <w:rPr>
          <w:spacing w:val="-2"/>
          <w:sz w:val="22"/>
          <w:szCs w:val="22"/>
        </w:rPr>
        <w:t>and 2021 respectively</w:t>
      </w:r>
      <w:r w:rsidRPr="000634A4">
        <w:rPr>
          <w:spacing w:val="-2"/>
          <w:sz w:val="22"/>
          <w:szCs w:val="22"/>
        </w:rPr>
        <w:t xml:space="preserve">, an increase of </w:t>
      </w:r>
      <w:r w:rsidR="00994E59" w:rsidRPr="000634A4">
        <w:rPr>
          <w:spacing w:val="-2"/>
          <w:sz w:val="22"/>
          <w:szCs w:val="22"/>
        </w:rPr>
        <w:t>$</w:t>
      </w:r>
      <w:r w:rsidR="005074C5" w:rsidRPr="000634A4">
        <w:rPr>
          <w:sz w:val="22"/>
          <w:szCs w:val="22"/>
        </w:rPr>
        <w:t>0.4</w:t>
      </w:r>
      <w:r w:rsidR="005074C5" w:rsidRPr="000634A4">
        <w:rPr>
          <w:spacing w:val="-2"/>
          <w:sz w:val="22"/>
          <w:szCs w:val="22"/>
        </w:rPr>
        <w:t xml:space="preserve"> </w:t>
      </w:r>
      <w:r w:rsidRPr="000634A4">
        <w:rPr>
          <w:spacing w:val="-2"/>
          <w:sz w:val="22"/>
          <w:szCs w:val="22"/>
        </w:rPr>
        <w:t xml:space="preserve">million or </w:t>
      </w:r>
      <w:r w:rsidR="006C555C" w:rsidRPr="000634A4">
        <w:rPr>
          <w:spacing w:val="-2"/>
          <w:sz w:val="22"/>
          <w:szCs w:val="22"/>
        </w:rPr>
        <w:t xml:space="preserve">approximately </w:t>
      </w:r>
      <w:r w:rsidR="005074C5" w:rsidRPr="000634A4">
        <w:rPr>
          <w:sz w:val="22"/>
          <w:szCs w:val="22"/>
        </w:rPr>
        <w:t>31</w:t>
      </w:r>
      <w:r w:rsidR="00994E59" w:rsidRPr="000634A4">
        <w:rPr>
          <w:spacing w:val="-2"/>
          <w:sz w:val="22"/>
          <w:szCs w:val="22"/>
        </w:rPr>
        <w:t xml:space="preserve">%. </w:t>
      </w:r>
      <w:r w:rsidR="0034392B" w:rsidRPr="000634A4">
        <w:rPr>
          <w:spacing w:val="-2"/>
          <w:sz w:val="22"/>
          <w:szCs w:val="22"/>
        </w:rPr>
        <w:t>The cost increase was primarily attributable to payroll related costs and recruitment fees for new hires and other professional fees of $0.</w:t>
      </w:r>
      <w:r w:rsidR="004544FF" w:rsidRPr="000634A4">
        <w:rPr>
          <w:spacing w:val="-2"/>
          <w:sz w:val="22"/>
          <w:szCs w:val="22"/>
        </w:rPr>
        <w:t>4</w:t>
      </w:r>
      <w:r w:rsidR="0034392B" w:rsidRPr="000634A4">
        <w:rPr>
          <w:spacing w:val="-2"/>
          <w:sz w:val="22"/>
          <w:szCs w:val="22"/>
        </w:rPr>
        <w:t xml:space="preserve"> million to support our growth initiatives.</w:t>
      </w:r>
      <w:r w:rsidRPr="000634A4">
        <w:rPr>
          <w:spacing w:val="-2"/>
          <w:sz w:val="22"/>
          <w:szCs w:val="22"/>
        </w:rPr>
        <w:t xml:space="preserve"> Selling and administrative expenses for the Synodex </w:t>
      </w:r>
      <w:r w:rsidRPr="000221CD">
        <w:rPr>
          <w:spacing w:val="-2"/>
          <w:sz w:val="22"/>
          <w:szCs w:val="22"/>
        </w:rPr>
        <w:t xml:space="preserve">segment </w:t>
      </w:r>
      <w:r w:rsidRPr="000221CD">
        <w:rPr>
          <w:sz w:val="22"/>
          <w:szCs w:val="22"/>
        </w:rPr>
        <w:t xml:space="preserve">as a percentage of </w:t>
      </w:r>
      <w:r w:rsidRPr="000221CD">
        <w:rPr>
          <w:spacing w:val="-2"/>
          <w:sz w:val="22"/>
          <w:szCs w:val="22"/>
        </w:rPr>
        <w:t xml:space="preserve">Synodex </w:t>
      </w:r>
      <w:r w:rsidRPr="000221CD">
        <w:rPr>
          <w:sz w:val="22"/>
          <w:szCs w:val="22"/>
        </w:rPr>
        <w:t xml:space="preserve">segment revenues were </w:t>
      </w:r>
      <w:r w:rsidR="006C555C" w:rsidRPr="000221CD">
        <w:rPr>
          <w:spacing w:val="-2"/>
          <w:sz w:val="22"/>
          <w:szCs w:val="22"/>
        </w:rPr>
        <w:t>approximately</w:t>
      </w:r>
      <w:r w:rsidR="006C555C" w:rsidRPr="000221CD">
        <w:rPr>
          <w:sz w:val="22"/>
          <w:szCs w:val="22"/>
        </w:rPr>
        <w:t xml:space="preserve"> </w:t>
      </w:r>
      <w:r w:rsidR="005074C5" w:rsidRPr="000221CD">
        <w:rPr>
          <w:sz w:val="22"/>
          <w:szCs w:val="22"/>
        </w:rPr>
        <w:t>24</w:t>
      </w:r>
      <w:r w:rsidR="00994E59" w:rsidRPr="000221CD">
        <w:rPr>
          <w:sz w:val="22"/>
          <w:szCs w:val="22"/>
        </w:rPr>
        <w:t xml:space="preserve">% </w:t>
      </w:r>
      <w:r w:rsidRPr="000221CD">
        <w:rPr>
          <w:sz w:val="22"/>
          <w:szCs w:val="22"/>
        </w:rPr>
        <w:t xml:space="preserve">and </w:t>
      </w:r>
      <w:r w:rsidR="00275679" w:rsidRPr="000221CD">
        <w:rPr>
          <w:sz w:val="22"/>
          <w:szCs w:val="22"/>
        </w:rPr>
        <w:t>31</w:t>
      </w:r>
      <w:r w:rsidRPr="000221CD">
        <w:rPr>
          <w:sz w:val="22"/>
          <w:szCs w:val="22"/>
        </w:rPr>
        <w:t xml:space="preserve">% for the years ended December 31, </w:t>
      </w:r>
      <w:r w:rsidR="00275679" w:rsidRPr="000221CD">
        <w:rPr>
          <w:sz w:val="22"/>
          <w:szCs w:val="22"/>
        </w:rPr>
        <w:t xml:space="preserve">2022 </w:t>
      </w:r>
      <w:r w:rsidRPr="000221CD">
        <w:rPr>
          <w:sz w:val="22"/>
          <w:szCs w:val="22"/>
        </w:rPr>
        <w:t xml:space="preserve">and </w:t>
      </w:r>
      <w:r w:rsidR="00275679" w:rsidRPr="000221CD">
        <w:rPr>
          <w:sz w:val="22"/>
          <w:szCs w:val="22"/>
        </w:rPr>
        <w:t>2021</w:t>
      </w:r>
      <w:r w:rsidRPr="000221CD">
        <w:rPr>
          <w:sz w:val="22"/>
          <w:szCs w:val="22"/>
        </w:rPr>
        <w:t xml:space="preserve">, respectively. </w:t>
      </w:r>
      <w:r w:rsidR="00226209" w:rsidRPr="000221CD">
        <w:rPr>
          <w:sz w:val="22"/>
          <w:szCs w:val="22"/>
        </w:rPr>
        <w:t xml:space="preserve">The </w:t>
      </w:r>
      <w:r w:rsidR="00586774" w:rsidRPr="000221CD">
        <w:rPr>
          <w:sz w:val="22"/>
          <w:szCs w:val="22"/>
        </w:rPr>
        <w:t xml:space="preserve">decrease </w:t>
      </w:r>
      <w:r w:rsidR="00226209" w:rsidRPr="000221CD">
        <w:rPr>
          <w:sz w:val="22"/>
          <w:szCs w:val="22"/>
        </w:rPr>
        <w:t>in selling and administrative expenses</w:t>
      </w:r>
      <w:r w:rsidR="002B77DE" w:rsidRPr="000221CD">
        <w:rPr>
          <w:sz w:val="22"/>
          <w:szCs w:val="22"/>
        </w:rPr>
        <w:t xml:space="preserve"> of the Synodex</w:t>
      </w:r>
      <w:r w:rsidR="00226209" w:rsidRPr="000221CD">
        <w:rPr>
          <w:sz w:val="22"/>
          <w:szCs w:val="22"/>
        </w:rPr>
        <w:t xml:space="preserve"> </w:t>
      </w:r>
      <w:r w:rsidR="00A36FD0" w:rsidRPr="00D204A8">
        <w:rPr>
          <w:sz w:val="22"/>
          <w:szCs w:val="22"/>
        </w:rPr>
        <w:t>segment</w:t>
      </w:r>
      <w:r w:rsidR="00A36FD0" w:rsidRPr="000221CD">
        <w:rPr>
          <w:sz w:val="22"/>
          <w:szCs w:val="22"/>
        </w:rPr>
        <w:t xml:space="preserve"> </w:t>
      </w:r>
      <w:r w:rsidR="00226209" w:rsidRPr="000221CD">
        <w:rPr>
          <w:sz w:val="22"/>
          <w:szCs w:val="22"/>
        </w:rPr>
        <w:t>as a percentage of</w:t>
      </w:r>
      <w:r w:rsidR="00D95FAC" w:rsidRPr="000221CD">
        <w:rPr>
          <w:sz w:val="22"/>
          <w:szCs w:val="22"/>
        </w:rPr>
        <w:t xml:space="preserve"> Synodex segment</w:t>
      </w:r>
      <w:r w:rsidR="00226209" w:rsidRPr="000221CD">
        <w:rPr>
          <w:sz w:val="22"/>
          <w:szCs w:val="22"/>
        </w:rPr>
        <w:t xml:space="preserve"> revenues </w:t>
      </w:r>
      <w:r w:rsidR="00226209" w:rsidRPr="000221CD">
        <w:rPr>
          <w:spacing w:val="-2"/>
          <w:sz w:val="22"/>
          <w:szCs w:val="22"/>
        </w:rPr>
        <w:t xml:space="preserve">was due to </w:t>
      </w:r>
      <w:r w:rsidR="00B540B6" w:rsidRPr="000221CD">
        <w:rPr>
          <w:spacing w:val="-2"/>
          <w:sz w:val="22"/>
          <w:szCs w:val="22"/>
        </w:rPr>
        <w:t>an incre</w:t>
      </w:r>
      <w:r w:rsidR="0078723C" w:rsidRPr="000221CD">
        <w:rPr>
          <w:spacing w:val="-2"/>
          <w:sz w:val="22"/>
          <w:szCs w:val="22"/>
        </w:rPr>
        <w:t xml:space="preserve">ase in revenues, offset in part by an increase in </w:t>
      </w:r>
      <w:r w:rsidR="00226209" w:rsidRPr="00D204A8">
        <w:rPr>
          <w:spacing w:val="-2"/>
          <w:sz w:val="22"/>
          <w:szCs w:val="22"/>
        </w:rPr>
        <w:t>selling and administrative expenses.</w:t>
      </w:r>
    </w:p>
    <w:p w14:paraId="3FF5CD0E" w14:textId="614D6DFE" w:rsidR="009F5AAB" w:rsidRPr="00D204A8" w:rsidRDefault="009F5AAB" w:rsidP="009F5AAB">
      <w:pPr>
        <w:ind w:firstLine="720"/>
        <w:jc w:val="both"/>
        <w:rPr>
          <w:sz w:val="22"/>
          <w:szCs w:val="22"/>
        </w:rPr>
      </w:pPr>
    </w:p>
    <w:p w14:paraId="24B9D3DE" w14:textId="44FA43BD" w:rsidR="00226209" w:rsidRPr="00D204A8" w:rsidRDefault="009F5AAB" w:rsidP="00226209">
      <w:pPr>
        <w:ind w:firstLine="720"/>
        <w:jc w:val="both"/>
        <w:rPr>
          <w:spacing w:val="-2"/>
          <w:sz w:val="22"/>
          <w:szCs w:val="22"/>
        </w:rPr>
      </w:pPr>
      <w:r w:rsidRPr="00D204A8">
        <w:rPr>
          <w:spacing w:val="-2"/>
          <w:sz w:val="22"/>
          <w:szCs w:val="22"/>
        </w:rPr>
        <w:t>Selling and administrative expenses for the Agility segment were $</w:t>
      </w:r>
      <w:r w:rsidR="005074C5" w:rsidRPr="00D204A8">
        <w:rPr>
          <w:sz w:val="22"/>
          <w:szCs w:val="22"/>
        </w:rPr>
        <w:t>15.6</w:t>
      </w:r>
      <w:r w:rsidR="005074C5" w:rsidRPr="00D204A8">
        <w:rPr>
          <w:spacing w:val="-2"/>
          <w:sz w:val="22"/>
          <w:szCs w:val="22"/>
        </w:rPr>
        <w:t xml:space="preserve"> </w:t>
      </w:r>
      <w:r w:rsidRPr="00D204A8">
        <w:rPr>
          <w:spacing w:val="-2"/>
          <w:sz w:val="22"/>
          <w:szCs w:val="22"/>
        </w:rPr>
        <w:t>million and $</w:t>
      </w:r>
      <w:r w:rsidR="00275679" w:rsidRPr="00D204A8">
        <w:rPr>
          <w:spacing w:val="-2"/>
          <w:sz w:val="22"/>
          <w:szCs w:val="22"/>
        </w:rPr>
        <w:t>11.1</w:t>
      </w:r>
      <w:r w:rsidRPr="00D204A8">
        <w:rPr>
          <w:spacing w:val="-2"/>
          <w:sz w:val="22"/>
          <w:szCs w:val="22"/>
        </w:rPr>
        <w:t xml:space="preserve"> million for the years ended December 31, </w:t>
      </w:r>
      <w:r w:rsidR="00275679" w:rsidRPr="00D204A8">
        <w:rPr>
          <w:spacing w:val="-2"/>
          <w:sz w:val="22"/>
          <w:szCs w:val="22"/>
        </w:rPr>
        <w:t xml:space="preserve">2022 </w:t>
      </w:r>
      <w:r w:rsidRPr="00D204A8">
        <w:rPr>
          <w:spacing w:val="-2"/>
          <w:sz w:val="22"/>
          <w:szCs w:val="22"/>
        </w:rPr>
        <w:t xml:space="preserve">and </w:t>
      </w:r>
      <w:r w:rsidR="00275679" w:rsidRPr="00D204A8">
        <w:rPr>
          <w:spacing w:val="-2"/>
          <w:sz w:val="22"/>
          <w:szCs w:val="22"/>
        </w:rPr>
        <w:t>2021</w:t>
      </w:r>
      <w:r w:rsidRPr="00D204A8">
        <w:rPr>
          <w:spacing w:val="-2"/>
          <w:sz w:val="22"/>
          <w:szCs w:val="22"/>
        </w:rPr>
        <w:t>, respectively, a</w:t>
      </w:r>
      <w:r w:rsidR="00994E59" w:rsidRPr="00D204A8">
        <w:rPr>
          <w:spacing w:val="-2"/>
          <w:sz w:val="22"/>
          <w:szCs w:val="22"/>
        </w:rPr>
        <w:t>n</w:t>
      </w:r>
      <w:r w:rsidRPr="00D204A8">
        <w:rPr>
          <w:spacing w:val="-2"/>
          <w:sz w:val="22"/>
          <w:szCs w:val="22"/>
        </w:rPr>
        <w:t xml:space="preserve"> </w:t>
      </w:r>
      <w:r w:rsidR="00994E59" w:rsidRPr="00D204A8">
        <w:rPr>
          <w:spacing w:val="-2"/>
          <w:sz w:val="22"/>
          <w:szCs w:val="22"/>
        </w:rPr>
        <w:t>in</w:t>
      </w:r>
      <w:r w:rsidRPr="00D204A8">
        <w:rPr>
          <w:spacing w:val="-2"/>
          <w:sz w:val="22"/>
          <w:szCs w:val="22"/>
        </w:rPr>
        <w:t xml:space="preserve">crease of </w:t>
      </w:r>
      <w:r w:rsidR="00994E59" w:rsidRPr="00D204A8">
        <w:rPr>
          <w:spacing w:val="-2"/>
          <w:sz w:val="22"/>
          <w:szCs w:val="22"/>
        </w:rPr>
        <w:t>$</w:t>
      </w:r>
      <w:r w:rsidR="00CC7519" w:rsidRPr="00D204A8">
        <w:rPr>
          <w:sz w:val="22"/>
          <w:szCs w:val="22"/>
        </w:rPr>
        <w:t>4.5</w:t>
      </w:r>
      <w:r w:rsidR="00CC7519" w:rsidRPr="00D204A8">
        <w:rPr>
          <w:spacing w:val="-2"/>
          <w:sz w:val="22"/>
          <w:szCs w:val="22"/>
        </w:rPr>
        <w:t xml:space="preserve"> </w:t>
      </w:r>
      <w:r w:rsidRPr="00D204A8">
        <w:rPr>
          <w:spacing w:val="-2"/>
          <w:sz w:val="22"/>
          <w:szCs w:val="22"/>
        </w:rPr>
        <w:t>million or</w:t>
      </w:r>
      <w:r w:rsidR="00994E59" w:rsidRPr="00D204A8">
        <w:rPr>
          <w:spacing w:val="-2"/>
          <w:sz w:val="22"/>
          <w:szCs w:val="22"/>
        </w:rPr>
        <w:t xml:space="preserve"> </w:t>
      </w:r>
      <w:r w:rsidR="006C555C" w:rsidRPr="00D204A8">
        <w:rPr>
          <w:spacing w:val="-2"/>
          <w:sz w:val="22"/>
          <w:szCs w:val="22"/>
        </w:rPr>
        <w:t xml:space="preserve">approximately </w:t>
      </w:r>
      <w:r w:rsidR="00CC7519" w:rsidRPr="00D204A8">
        <w:rPr>
          <w:sz w:val="22"/>
          <w:szCs w:val="22"/>
        </w:rPr>
        <w:t>41</w:t>
      </w:r>
      <w:r w:rsidRPr="00D204A8">
        <w:rPr>
          <w:spacing w:val="-2"/>
          <w:sz w:val="22"/>
          <w:szCs w:val="22"/>
        </w:rPr>
        <w:t>%.</w:t>
      </w:r>
      <w:r w:rsidR="00D8127B" w:rsidRPr="00D204A8">
        <w:rPr>
          <w:spacing w:val="-2"/>
          <w:sz w:val="22"/>
          <w:szCs w:val="22"/>
        </w:rPr>
        <w:t xml:space="preserve"> </w:t>
      </w:r>
      <w:r w:rsidR="007279B4" w:rsidRPr="00D204A8">
        <w:rPr>
          <w:spacing w:val="-2"/>
          <w:sz w:val="22"/>
          <w:szCs w:val="22"/>
        </w:rPr>
        <w:t>The selling and administrative costs increase includes payroll related costs for</w:t>
      </w:r>
      <w:r w:rsidR="007279B4" w:rsidRPr="00D204A8">
        <w:rPr>
          <w:sz w:val="22"/>
          <w:szCs w:val="22"/>
        </w:rPr>
        <w:t xml:space="preserve"> new hires, stock-based compensation, commissions, incentives of $</w:t>
      </w:r>
      <w:r w:rsidR="007279B4" w:rsidRPr="00D204A8">
        <w:rPr>
          <w:spacing w:val="-2"/>
          <w:sz w:val="22"/>
          <w:szCs w:val="22"/>
        </w:rPr>
        <w:t>3.</w:t>
      </w:r>
      <w:r w:rsidR="008E4532" w:rsidRPr="00D204A8">
        <w:rPr>
          <w:spacing w:val="-2"/>
          <w:sz w:val="22"/>
          <w:szCs w:val="22"/>
        </w:rPr>
        <w:t>5</w:t>
      </w:r>
      <w:r w:rsidR="007279B4" w:rsidRPr="00D204A8">
        <w:rPr>
          <w:sz w:val="22"/>
          <w:szCs w:val="22"/>
        </w:rPr>
        <w:t xml:space="preserve"> million, marketing activity related costs of $</w:t>
      </w:r>
      <w:r w:rsidR="008E4532" w:rsidRPr="00D204A8">
        <w:rPr>
          <w:sz w:val="22"/>
          <w:szCs w:val="22"/>
        </w:rPr>
        <w:t>0.7</w:t>
      </w:r>
      <w:r w:rsidR="007279B4" w:rsidRPr="00D204A8">
        <w:rPr>
          <w:sz w:val="22"/>
          <w:szCs w:val="22"/>
        </w:rPr>
        <w:t xml:space="preserve"> million, severance costs of $0.3 million,</w:t>
      </w:r>
      <w:r w:rsidR="00CE2E0C" w:rsidRPr="00D204A8">
        <w:rPr>
          <w:spacing w:val="-2"/>
          <w:sz w:val="22"/>
          <w:szCs w:val="22"/>
        </w:rPr>
        <w:t xml:space="preserve"> provisions for doubtful accounts of $0.1 million, </w:t>
      </w:r>
      <w:r w:rsidR="001E68EA" w:rsidRPr="00D204A8">
        <w:rPr>
          <w:spacing w:val="-2"/>
          <w:sz w:val="22"/>
          <w:szCs w:val="22"/>
        </w:rPr>
        <w:t>leasehold improvement write-offs from lease terminations of $0.</w:t>
      </w:r>
      <w:r w:rsidR="001D25C0" w:rsidRPr="00D204A8">
        <w:rPr>
          <w:spacing w:val="-2"/>
          <w:sz w:val="22"/>
          <w:szCs w:val="22"/>
        </w:rPr>
        <w:t>1</w:t>
      </w:r>
      <w:r w:rsidR="001E68EA" w:rsidRPr="00D204A8">
        <w:rPr>
          <w:spacing w:val="-2"/>
          <w:sz w:val="22"/>
          <w:szCs w:val="22"/>
        </w:rPr>
        <w:t xml:space="preserve"> million,</w:t>
      </w:r>
      <w:r w:rsidR="00435100" w:rsidRPr="00D204A8">
        <w:rPr>
          <w:spacing w:val="-2"/>
          <w:sz w:val="22"/>
          <w:szCs w:val="22"/>
        </w:rPr>
        <w:t xml:space="preserve"> </w:t>
      </w:r>
      <w:r w:rsidR="001C7FF4" w:rsidRPr="00D204A8">
        <w:rPr>
          <w:spacing w:val="-2"/>
          <w:sz w:val="22"/>
          <w:szCs w:val="22"/>
        </w:rPr>
        <w:t xml:space="preserve">and </w:t>
      </w:r>
      <w:r w:rsidR="007279B4" w:rsidRPr="00D204A8">
        <w:rPr>
          <w:spacing w:val="-2"/>
          <w:sz w:val="22"/>
          <w:szCs w:val="22"/>
        </w:rPr>
        <w:t>an unfavorable impact of foreign exchange rate fluctuations of $0.</w:t>
      </w:r>
      <w:r w:rsidR="008E4532" w:rsidRPr="00D204A8">
        <w:rPr>
          <w:spacing w:val="-2"/>
          <w:sz w:val="22"/>
          <w:szCs w:val="22"/>
        </w:rPr>
        <w:t>1</w:t>
      </w:r>
      <w:r w:rsidR="007279B4" w:rsidRPr="00D204A8">
        <w:rPr>
          <w:spacing w:val="-2"/>
          <w:sz w:val="22"/>
          <w:szCs w:val="22"/>
        </w:rPr>
        <w:t xml:space="preserve"> million</w:t>
      </w:r>
      <w:r w:rsidR="007279B4" w:rsidRPr="00D204A8">
        <w:rPr>
          <w:sz w:val="22"/>
          <w:szCs w:val="22"/>
        </w:rPr>
        <w:t>; partly offset by decreases in</w:t>
      </w:r>
      <w:r w:rsidR="007279B4" w:rsidRPr="00D204A8">
        <w:rPr>
          <w:spacing w:val="-2"/>
          <w:sz w:val="22"/>
          <w:szCs w:val="22"/>
        </w:rPr>
        <w:t xml:space="preserve"> recruitment and professional fees</w:t>
      </w:r>
      <w:r w:rsidR="007279B4" w:rsidRPr="00D204A8">
        <w:rPr>
          <w:sz w:val="22"/>
          <w:szCs w:val="22"/>
        </w:rPr>
        <w:t xml:space="preserve"> of $0.</w:t>
      </w:r>
      <w:r w:rsidR="00B5001B" w:rsidRPr="00D204A8">
        <w:rPr>
          <w:sz w:val="22"/>
          <w:szCs w:val="22"/>
        </w:rPr>
        <w:t>3</w:t>
      </w:r>
      <w:r w:rsidR="007279B4" w:rsidRPr="00D204A8">
        <w:rPr>
          <w:sz w:val="22"/>
          <w:szCs w:val="22"/>
        </w:rPr>
        <w:t xml:space="preserve"> million.</w:t>
      </w:r>
      <w:r w:rsidR="007279B4" w:rsidRPr="00D204A8">
        <w:rPr>
          <w:spacing w:val="-2"/>
          <w:sz w:val="22"/>
          <w:szCs w:val="22"/>
        </w:rPr>
        <w:t xml:space="preserve"> </w:t>
      </w:r>
      <w:r w:rsidRPr="00D204A8">
        <w:rPr>
          <w:spacing w:val="-2"/>
          <w:sz w:val="22"/>
          <w:szCs w:val="22"/>
        </w:rPr>
        <w:t xml:space="preserve">Selling and administrative expenses for the Agility segment as a percentage of Agility segment revenues were </w:t>
      </w:r>
      <w:r w:rsidR="006C555C" w:rsidRPr="00D204A8">
        <w:rPr>
          <w:spacing w:val="-2"/>
          <w:sz w:val="22"/>
          <w:szCs w:val="22"/>
        </w:rPr>
        <w:t xml:space="preserve">approximately </w:t>
      </w:r>
      <w:r w:rsidR="00CC7519" w:rsidRPr="00D204A8">
        <w:rPr>
          <w:spacing w:val="-2"/>
          <w:sz w:val="22"/>
          <w:szCs w:val="22"/>
        </w:rPr>
        <w:t>101</w:t>
      </w:r>
      <w:r w:rsidR="00994E59" w:rsidRPr="00D204A8">
        <w:rPr>
          <w:spacing w:val="-2"/>
          <w:sz w:val="22"/>
          <w:szCs w:val="22"/>
        </w:rPr>
        <w:t xml:space="preserve">% </w:t>
      </w:r>
      <w:r w:rsidRPr="00D204A8">
        <w:rPr>
          <w:spacing w:val="-2"/>
          <w:sz w:val="22"/>
          <w:szCs w:val="22"/>
        </w:rPr>
        <w:t xml:space="preserve">and </w:t>
      </w:r>
      <w:r w:rsidR="00275679" w:rsidRPr="00D204A8">
        <w:rPr>
          <w:spacing w:val="-2"/>
          <w:sz w:val="22"/>
          <w:szCs w:val="22"/>
        </w:rPr>
        <w:t>85</w:t>
      </w:r>
      <w:r w:rsidRPr="00D204A8">
        <w:rPr>
          <w:spacing w:val="-2"/>
          <w:sz w:val="22"/>
          <w:szCs w:val="22"/>
        </w:rPr>
        <w:t>% for the years ended</w:t>
      </w:r>
      <w:r w:rsidRPr="00D204A8">
        <w:rPr>
          <w:sz w:val="22"/>
          <w:szCs w:val="22"/>
        </w:rPr>
        <w:t xml:space="preserve"> </w:t>
      </w:r>
      <w:r w:rsidRPr="00D204A8">
        <w:rPr>
          <w:spacing w:val="-2"/>
          <w:sz w:val="22"/>
          <w:szCs w:val="22"/>
        </w:rPr>
        <w:t xml:space="preserve">December 31, </w:t>
      </w:r>
      <w:r w:rsidR="00275679" w:rsidRPr="00D204A8">
        <w:rPr>
          <w:spacing w:val="-2"/>
          <w:sz w:val="22"/>
          <w:szCs w:val="22"/>
        </w:rPr>
        <w:t>2022</w:t>
      </w:r>
      <w:r w:rsidR="00275679" w:rsidRPr="00D204A8">
        <w:rPr>
          <w:sz w:val="22"/>
          <w:szCs w:val="22"/>
        </w:rPr>
        <w:t xml:space="preserve"> </w:t>
      </w:r>
      <w:r w:rsidRPr="00D204A8">
        <w:rPr>
          <w:sz w:val="22"/>
          <w:szCs w:val="22"/>
        </w:rPr>
        <w:t xml:space="preserve">and </w:t>
      </w:r>
      <w:r w:rsidR="00275679" w:rsidRPr="00D204A8">
        <w:rPr>
          <w:sz w:val="22"/>
          <w:szCs w:val="22"/>
        </w:rPr>
        <w:t>2021</w:t>
      </w:r>
      <w:r w:rsidRPr="00D204A8">
        <w:rPr>
          <w:sz w:val="22"/>
          <w:szCs w:val="22"/>
        </w:rPr>
        <w:t xml:space="preserve">, respectively. </w:t>
      </w:r>
      <w:r w:rsidR="00226209" w:rsidRPr="00D204A8">
        <w:rPr>
          <w:sz w:val="22"/>
          <w:szCs w:val="22"/>
        </w:rPr>
        <w:t>The increase in selling and administrative expenses</w:t>
      </w:r>
      <w:r w:rsidR="00D95FAC" w:rsidRPr="00D204A8">
        <w:rPr>
          <w:sz w:val="22"/>
          <w:szCs w:val="22"/>
        </w:rPr>
        <w:t xml:space="preserve"> of the Agility segment</w:t>
      </w:r>
      <w:r w:rsidR="00226209" w:rsidRPr="00D204A8">
        <w:rPr>
          <w:sz w:val="22"/>
          <w:szCs w:val="22"/>
        </w:rPr>
        <w:t xml:space="preserve"> as a percentage of </w:t>
      </w:r>
      <w:r w:rsidR="00D95FAC" w:rsidRPr="00D204A8">
        <w:rPr>
          <w:sz w:val="22"/>
          <w:szCs w:val="22"/>
        </w:rPr>
        <w:t xml:space="preserve">Agility </w:t>
      </w:r>
      <w:r w:rsidR="00521D54" w:rsidRPr="00D204A8">
        <w:rPr>
          <w:sz w:val="22"/>
          <w:szCs w:val="22"/>
        </w:rPr>
        <w:t xml:space="preserve">segment </w:t>
      </w:r>
      <w:r w:rsidR="00226209" w:rsidRPr="00D204A8">
        <w:rPr>
          <w:sz w:val="22"/>
          <w:szCs w:val="22"/>
        </w:rPr>
        <w:t xml:space="preserve">revenues </w:t>
      </w:r>
      <w:r w:rsidR="00226209" w:rsidRPr="00D204A8">
        <w:rPr>
          <w:spacing w:val="-2"/>
          <w:sz w:val="22"/>
          <w:szCs w:val="22"/>
        </w:rPr>
        <w:t xml:space="preserve">was due to increased selling and administrative expenses, offset in part by </w:t>
      </w:r>
      <w:r w:rsidR="00F76097" w:rsidRPr="00D204A8">
        <w:rPr>
          <w:spacing w:val="-2"/>
          <w:sz w:val="22"/>
          <w:szCs w:val="22"/>
        </w:rPr>
        <w:t xml:space="preserve">an increase in </w:t>
      </w:r>
      <w:r w:rsidR="00226209" w:rsidRPr="00D204A8">
        <w:rPr>
          <w:spacing w:val="-2"/>
          <w:sz w:val="22"/>
          <w:szCs w:val="22"/>
        </w:rPr>
        <w:t>revenues.</w:t>
      </w:r>
    </w:p>
    <w:p w14:paraId="541EC1B2" w14:textId="5E0050E5" w:rsidR="00A81DCD" w:rsidRPr="00D204A8" w:rsidRDefault="00A81DCD" w:rsidP="009F5AAB">
      <w:pPr>
        <w:jc w:val="both"/>
        <w:rPr>
          <w:sz w:val="22"/>
          <w:szCs w:val="22"/>
        </w:rPr>
      </w:pPr>
    </w:p>
    <w:p w14:paraId="3AF9B051" w14:textId="7BA322CD" w:rsidR="00A81DCD" w:rsidRPr="00D204A8" w:rsidRDefault="00A81DCD" w:rsidP="00A81DCD">
      <w:pPr>
        <w:rPr>
          <w:bCs/>
          <w:i/>
          <w:sz w:val="22"/>
          <w:szCs w:val="22"/>
        </w:rPr>
      </w:pPr>
      <w:r w:rsidRPr="00D204A8">
        <w:rPr>
          <w:bCs/>
          <w:i/>
          <w:sz w:val="22"/>
          <w:szCs w:val="22"/>
        </w:rPr>
        <w:t xml:space="preserve">Goodwill </w:t>
      </w:r>
      <w:r w:rsidR="00025F42" w:rsidRPr="00D204A8">
        <w:rPr>
          <w:bCs/>
          <w:i/>
          <w:sz w:val="22"/>
          <w:szCs w:val="22"/>
        </w:rPr>
        <w:t xml:space="preserve">and Intangible Asset </w:t>
      </w:r>
      <w:r w:rsidRPr="00D204A8">
        <w:rPr>
          <w:bCs/>
          <w:i/>
          <w:sz w:val="22"/>
          <w:szCs w:val="22"/>
        </w:rPr>
        <w:t>Impairment</w:t>
      </w:r>
    </w:p>
    <w:p w14:paraId="17EDE76C" w14:textId="77777777" w:rsidR="00A81DCD" w:rsidRPr="00D204A8" w:rsidRDefault="00A81DCD" w:rsidP="00A81DCD">
      <w:pPr>
        <w:rPr>
          <w:sz w:val="22"/>
          <w:szCs w:val="22"/>
        </w:rPr>
      </w:pPr>
    </w:p>
    <w:p w14:paraId="58D1E756" w14:textId="07C65E3E" w:rsidR="00E4692A" w:rsidRPr="00D204A8" w:rsidRDefault="006C264E" w:rsidP="00E840CB">
      <w:pPr>
        <w:ind w:firstLine="720"/>
        <w:jc w:val="both"/>
        <w:rPr>
          <w:spacing w:val="-2"/>
          <w:sz w:val="22"/>
          <w:szCs w:val="22"/>
        </w:rPr>
      </w:pPr>
      <w:r w:rsidRPr="00D204A8">
        <w:rPr>
          <w:spacing w:val="-2"/>
          <w:sz w:val="22"/>
          <w:szCs w:val="22"/>
        </w:rPr>
        <w:t xml:space="preserve">As of September 30, 2022, </w:t>
      </w:r>
      <w:r w:rsidR="000E5743" w:rsidRPr="00D204A8">
        <w:rPr>
          <w:spacing w:val="-2"/>
          <w:sz w:val="22"/>
          <w:szCs w:val="22"/>
        </w:rPr>
        <w:t>we</w:t>
      </w:r>
      <w:r w:rsidRPr="00D204A8">
        <w:rPr>
          <w:spacing w:val="-2"/>
          <w:sz w:val="22"/>
          <w:szCs w:val="22"/>
        </w:rPr>
        <w:t xml:space="preserve"> performed </w:t>
      </w:r>
      <w:r w:rsidR="000E5743" w:rsidRPr="00D204A8">
        <w:rPr>
          <w:spacing w:val="-2"/>
          <w:sz w:val="22"/>
          <w:szCs w:val="22"/>
        </w:rPr>
        <w:t xml:space="preserve">our </w:t>
      </w:r>
      <w:r w:rsidRPr="00D204A8">
        <w:rPr>
          <w:spacing w:val="-2"/>
          <w:sz w:val="22"/>
          <w:szCs w:val="22"/>
        </w:rPr>
        <w:t xml:space="preserve">annual goodwill impairment analysis on one of </w:t>
      </w:r>
      <w:r w:rsidR="000E5743" w:rsidRPr="00D204A8">
        <w:rPr>
          <w:spacing w:val="-2"/>
          <w:sz w:val="22"/>
          <w:szCs w:val="22"/>
        </w:rPr>
        <w:t xml:space="preserve">our </w:t>
      </w:r>
      <w:r w:rsidRPr="00D204A8">
        <w:rPr>
          <w:spacing w:val="-2"/>
          <w:sz w:val="22"/>
          <w:szCs w:val="22"/>
        </w:rPr>
        <w:t xml:space="preserve">reporting units, the Agility segment. </w:t>
      </w:r>
      <w:r w:rsidR="000E5743" w:rsidRPr="00D204A8">
        <w:rPr>
          <w:spacing w:val="-2"/>
          <w:sz w:val="22"/>
          <w:szCs w:val="22"/>
        </w:rPr>
        <w:t>We</w:t>
      </w:r>
      <w:r w:rsidRPr="00D204A8">
        <w:rPr>
          <w:spacing w:val="-2"/>
          <w:sz w:val="22"/>
          <w:szCs w:val="22"/>
        </w:rPr>
        <w:t xml:space="preserve"> also tested </w:t>
      </w:r>
      <w:r w:rsidR="00CF7F5B" w:rsidRPr="00D204A8">
        <w:rPr>
          <w:spacing w:val="-2"/>
          <w:sz w:val="22"/>
          <w:szCs w:val="22"/>
        </w:rPr>
        <w:t xml:space="preserve">the </w:t>
      </w:r>
      <w:r w:rsidRPr="00D204A8">
        <w:rPr>
          <w:spacing w:val="-2"/>
          <w:sz w:val="22"/>
          <w:szCs w:val="22"/>
        </w:rPr>
        <w:t xml:space="preserve">intangible assets </w:t>
      </w:r>
      <w:r w:rsidR="00CF7F5B" w:rsidRPr="00D204A8">
        <w:rPr>
          <w:spacing w:val="-2"/>
          <w:sz w:val="22"/>
          <w:szCs w:val="22"/>
        </w:rPr>
        <w:t xml:space="preserve">of </w:t>
      </w:r>
      <w:r w:rsidRPr="00D204A8">
        <w:rPr>
          <w:spacing w:val="-2"/>
          <w:sz w:val="22"/>
          <w:szCs w:val="22"/>
        </w:rPr>
        <w:t>the Agility and Synodex segments</w:t>
      </w:r>
      <w:r w:rsidR="00CF7F5B" w:rsidRPr="00D204A8">
        <w:rPr>
          <w:spacing w:val="-2"/>
          <w:sz w:val="22"/>
          <w:szCs w:val="22"/>
        </w:rPr>
        <w:t xml:space="preserve"> for impairment</w:t>
      </w:r>
      <w:r w:rsidRPr="00D204A8">
        <w:rPr>
          <w:spacing w:val="-2"/>
          <w:sz w:val="22"/>
          <w:szCs w:val="22"/>
        </w:rPr>
        <w:t>. The impairment test involves estimating the fair value based on a combination of income (estimates of future discounted cash flows) and the market approach (market multiples for similar companies) using unobservable inputs (Level 3). The income approach uses a discounted cash flow ("DCF") method that utilizes the present value of cash flows to estimate the segment's fair value.</w:t>
      </w:r>
      <w:r w:rsidR="00D04635" w:rsidRPr="00D204A8">
        <w:rPr>
          <w:spacing w:val="-2"/>
          <w:sz w:val="22"/>
          <w:szCs w:val="22"/>
        </w:rPr>
        <w:t xml:space="preserve"> </w:t>
      </w:r>
      <w:r w:rsidR="00867AD0" w:rsidRPr="00D204A8">
        <w:rPr>
          <w:sz w:val="22"/>
          <w:szCs w:val="22"/>
        </w:rPr>
        <w:t xml:space="preserve">The income approach uses a discounted cash flow ("DCF") method that utilizes the present value of cash flows to estimate the segment's fair value. </w:t>
      </w:r>
      <w:r w:rsidR="00D04635" w:rsidRPr="00D204A8">
        <w:rPr>
          <w:spacing w:val="-2"/>
          <w:sz w:val="22"/>
          <w:szCs w:val="22"/>
        </w:rPr>
        <w:t xml:space="preserve">The future cash flows of the segment were projected based on </w:t>
      </w:r>
      <w:r w:rsidR="000E5743" w:rsidRPr="00D204A8">
        <w:rPr>
          <w:spacing w:val="-2"/>
          <w:sz w:val="22"/>
          <w:szCs w:val="22"/>
        </w:rPr>
        <w:t xml:space="preserve">our </w:t>
      </w:r>
      <w:r w:rsidR="00D04635" w:rsidRPr="00D204A8">
        <w:rPr>
          <w:spacing w:val="-2"/>
          <w:sz w:val="22"/>
          <w:szCs w:val="22"/>
        </w:rPr>
        <w:t xml:space="preserve">estimates of future revenue, operating income, and other factors such as working capital and capital expenditures. As part of the DCF analysis, </w:t>
      </w:r>
      <w:r w:rsidR="000E5743" w:rsidRPr="00D204A8">
        <w:rPr>
          <w:spacing w:val="-2"/>
          <w:sz w:val="22"/>
          <w:szCs w:val="22"/>
        </w:rPr>
        <w:t>we</w:t>
      </w:r>
      <w:r w:rsidR="00D04635" w:rsidRPr="00D204A8">
        <w:rPr>
          <w:spacing w:val="-2"/>
          <w:sz w:val="22"/>
          <w:szCs w:val="22"/>
        </w:rPr>
        <w:t xml:space="preserve"> projected revenue and operating profits and assumed long-term revenue growth rates in the terminal year. The market approach utilizes multiples of revenues and earnings before interest expense, taxes, depreciation, and amortization ("EBITDA") to estimate the segment's fair value. The market multiples used for the segment were based on a group of comparable companies' market multiples applied to </w:t>
      </w:r>
      <w:r w:rsidR="000E5743" w:rsidRPr="00D204A8">
        <w:rPr>
          <w:spacing w:val="-2"/>
          <w:sz w:val="22"/>
          <w:szCs w:val="22"/>
        </w:rPr>
        <w:t>our</w:t>
      </w:r>
      <w:r w:rsidR="00D04635" w:rsidRPr="00D204A8">
        <w:rPr>
          <w:spacing w:val="-2"/>
          <w:sz w:val="22"/>
          <w:szCs w:val="22"/>
        </w:rPr>
        <w:t xml:space="preserve"> revenue. </w:t>
      </w:r>
      <w:r w:rsidR="000E5743" w:rsidRPr="00D204A8">
        <w:rPr>
          <w:spacing w:val="-2"/>
          <w:sz w:val="22"/>
          <w:szCs w:val="22"/>
        </w:rPr>
        <w:t>We</w:t>
      </w:r>
      <w:r w:rsidR="00D04635" w:rsidRPr="00D204A8">
        <w:rPr>
          <w:spacing w:val="-2"/>
          <w:sz w:val="22"/>
          <w:szCs w:val="22"/>
        </w:rPr>
        <w:t xml:space="preserve"> concluded that there is no impairment of goodwill </w:t>
      </w:r>
      <w:r w:rsidR="00CF7F5B" w:rsidRPr="00D204A8">
        <w:rPr>
          <w:spacing w:val="-2"/>
          <w:sz w:val="22"/>
          <w:szCs w:val="22"/>
        </w:rPr>
        <w:t xml:space="preserve">or </w:t>
      </w:r>
      <w:r w:rsidR="00D04635" w:rsidRPr="00D204A8">
        <w:rPr>
          <w:spacing w:val="-2"/>
          <w:sz w:val="22"/>
          <w:szCs w:val="22"/>
        </w:rPr>
        <w:t>intangible assets for the Agility</w:t>
      </w:r>
      <w:r w:rsidR="00CF7F5B" w:rsidRPr="00D204A8">
        <w:rPr>
          <w:spacing w:val="-2"/>
          <w:sz w:val="22"/>
          <w:szCs w:val="22"/>
        </w:rPr>
        <w:t xml:space="preserve"> segment,</w:t>
      </w:r>
      <w:r w:rsidR="00D04635" w:rsidRPr="00D204A8">
        <w:rPr>
          <w:spacing w:val="-2"/>
          <w:sz w:val="22"/>
          <w:szCs w:val="22"/>
        </w:rPr>
        <w:t xml:space="preserve"> and </w:t>
      </w:r>
      <w:r w:rsidR="00CF7F5B" w:rsidRPr="00D204A8">
        <w:rPr>
          <w:spacing w:val="-2"/>
          <w:sz w:val="22"/>
          <w:szCs w:val="22"/>
        </w:rPr>
        <w:t xml:space="preserve">no impairment of intangible assets for the </w:t>
      </w:r>
      <w:r w:rsidR="00D04635" w:rsidRPr="00D204A8">
        <w:rPr>
          <w:spacing w:val="-2"/>
          <w:sz w:val="22"/>
          <w:szCs w:val="22"/>
        </w:rPr>
        <w:t>Synodex segment.</w:t>
      </w:r>
      <w:bookmarkStart w:id="31" w:name="_Hlk118843130"/>
    </w:p>
    <w:bookmarkEnd w:id="31"/>
    <w:p w14:paraId="302F078C" w14:textId="77777777" w:rsidR="00867AD0" w:rsidRPr="00D204A8" w:rsidRDefault="00867AD0" w:rsidP="00466EEB">
      <w:pPr>
        <w:ind w:firstLine="720"/>
        <w:jc w:val="both"/>
        <w:rPr>
          <w:sz w:val="22"/>
          <w:szCs w:val="22"/>
        </w:rPr>
      </w:pPr>
    </w:p>
    <w:p w14:paraId="7D9C0CBC" w14:textId="77777777" w:rsidR="00994E59" w:rsidRPr="00D204A8" w:rsidRDefault="00994E59" w:rsidP="00994E59">
      <w:pPr>
        <w:tabs>
          <w:tab w:val="left" w:pos="-720"/>
        </w:tabs>
        <w:suppressAutoHyphens/>
        <w:spacing w:line="240" w:lineRule="atLeast"/>
        <w:jc w:val="both"/>
        <w:rPr>
          <w:i/>
          <w:spacing w:val="-2"/>
          <w:sz w:val="22"/>
          <w:szCs w:val="22"/>
        </w:rPr>
      </w:pPr>
      <w:bookmarkStart w:id="32" w:name="_Hlk354305"/>
      <w:r w:rsidRPr="00D204A8">
        <w:rPr>
          <w:i/>
          <w:spacing w:val="-2"/>
          <w:sz w:val="22"/>
          <w:szCs w:val="22"/>
        </w:rPr>
        <w:t>Gain on PPP Loan Forgiveness</w:t>
      </w:r>
    </w:p>
    <w:p w14:paraId="66A194C9" w14:textId="77777777" w:rsidR="00994E59" w:rsidRPr="00D204A8" w:rsidRDefault="00994E59" w:rsidP="00994E59">
      <w:pPr>
        <w:tabs>
          <w:tab w:val="left" w:pos="-720"/>
        </w:tabs>
        <w:suppressAutoHyphens/>
        <w:spacing w:line="240" w:lineRule="atLeast"/>
        <w:jc w:val="both"/>
        <w:rPr>
          <w:i/>
          <w:spacing w:val="-2"/>
          <w:sz w:val="22"/>
          <w:szCs w:val="22"/>
        </w:rPr>
      </w:pPr>
    </w:p>
    <w:p w14:paraId="5FD5D309" w14:textId="601A1430" w:rsidR="00994E59" w:rsidRPr="00D204A8" w:rsidRDefault="00994E59" w:rsidP="00994E59">
      <w:pPr>
        <w:tabs>
          <w:tab w:val="left" w:pos="-720"/>
        </w:tabs>
        <w:suppressAutoHyphens/>
        <w:spacing w:line="240" w:lineRule="atLeast"/>
        <w:jc w:val="both"/>
        <w:rPr>
          <w:i/>
          <w:spacing w:val="-2"/>
          <w:sz w:val="22"/>
          <w:szCs w:val="22"/>
        </w:rPr>
      </w:pPr>
      <w:r w:rsidRPr="00D204A8">
        <w:rPr>
          <w:sz w:val="22"/>
          <w:szCs w:val="22"/>
        </w:rPr>
        <w:tab/>
        <w:t xml:space="preserve">On May 4, 2020, </w:t>
      </w:r>
      <w:r w:rsidR="00C82474" w:rsidRPr="00D204A8">
        <w:rPr>
          <w:sz w:val="22"/>
          <w:szCs w:val="22"/>
        </w:rPr>
        <w:t>we</w:t>
      </w:r>
      <w:r w:rsidRPr="00D204A8">
        <w:rPr>
          <w:sz w:val="22"/>
          <w:szCs w:val="22"/>
        </w:rPr>
        <w:t xml:space="preserve"> received loan proceeds of $579,700 under the Paycheck Protection Program </w:t>
      </w:r>
      <w:r w:rsidR="00D8131E" w:rsidRPr="00D204A8">
        <w:rPr>
          <w:sz w:val="22"/>
          <w:szCs w:val="22"/>
        </w:rPr>
        <w:t xml:space="preserve">(“PPP”) </w:t>
      </w:r>
      <w:r w:rsidRPr="00D204A8">
        <w:rPr>
          <w:sz w:val="22"/>
          <w:szCs w:val="22"/>
        </w:rPr>
        <w:t xml:space="preserve">which was established as part of the Coronavirus Aid, Relief and Economic Security Act of 2020, as amended. On May 21, 2021, </w:t>
      </w:r>
      <w:r w:rsidR="000E5743" w:rsidRPr="00D204A8">
        <w:rPr>
          <w:sz w:val="22"/>
          <w:szCs w:val="22"/>
        </w:rPr>
        <w:t>our</w:t>
      </w:r>
      <w:r w:rsidR="00823DE4" w:rsidRPr="00D204A8">
        <w:rPr>
          <w:sz w:val="22"/>
          <w:szCs w:val="22"/>
        </w:rPr>
        <w:t xml:space="preserve"> loan forgiveness application was approved for 100% of the amount loaned to the Company by the Small Business Administration (“SBA”).</w:t>
      </w:r>
      <w:r w:rsidR="00823DE4" w:rsidRPr="00D204A8" w:rsidDel="00823DE4">
        <w:rPr>
          <w:sz w:val="22"/>
          <w:szCs w:val="22"/>
        </w:rPr>
        <w:t xml:space="preserve"> </w:t>
      </w:r>
    </w:p>
    <w:p w14:paraId="290DEF51" w14:textId="77777777" w:rsidR="00994E59" w:rsidRPr="00D204A8" w:rsidRDefault="00994E59" w:rsidP="00994E59">
      <w:pPr>
        <w:tabs>
          <w:tab w:val="left" w:pos="-720"/>
        </w:tabs>
        <w:suppressAutoHyphens/>
        <w:spacing w:line="240" w:lineRule="atLeast"/>
        <w:jc w:val="both"/>
        <w:rPr>
          <w:i/>
          <w:spacing w:val="-2"/>
          <w:sz w:val="22"/>
          <w:szCs w:val="22"/>
        </w:rPr>
      </w:pPr>
    </w:p>
    <w:p w14:paraId="63EDDB69" w14:textId="77777777" w:rsidR="00E75E4F" w:rsidRPr="00D204A8" w:rsidRDefault="00E75E4F" w:rsidP="00A81DCD">
      <w:pPr>
        <w:jc w:val="both"/>
        <w:rPr>
          <w:i/>
          <w:iCs/>
          <w:sz w:val="22"/>
          <w:szCs w:val="22"/>
        </w:rPr>
      </w:pPr>
    </w:p>
    <w:p w14:paraId="28E060AF" w14:textId="77777777" w:rsidR="00E75E4F" w:rsidRPr="00D204A8" w:rsidRDefault="00E75E4F" w:rsidP="00A81DCD">
      <w:pPr>
        <w:jc w:val="both"/>
        <w:rPr>
          <w:i/>
          <w:iCs/>
          <w:sz w:val="22"/>
          <w:szCs w:val="22"/>
        </w:rPr>
      </w:pPr>
    </w:p>
    <w:p w14:paraId="37EE2A55" w14:textId="60026AC9" w:rsidR="00A81DCD" w:rsidRPr="00D204A8" w:rsidRDefault="00E01624" w:rsidP="00A81DCD">
      <w:pPr>
        <w:jc w:val="both"/>
        <w:rPr>
          <w:i/>
          <w:iCs/>
          <w:sz w:val="22"/>
          <w:szCs w:val="22"/>
        </w:rPr>
      </w:pPr>
      <w:r w:rsidRPr="00D204A8">
        <w:rPr>
          <w:i/>
          <w:iCs/>
          <w:sz w:val="22"/>
          <w:szCs w:val="22"/>
        </w:rPr>
        <w:t xml:space="preserve">Income </w:t>
      </w:r>
      <w:r w:rsidR="00A81DCD" w:rsidRPr="00D204A8">
        <w:rPr>
          <w:i/>
          <w:iCs/>
          <w:sz w:val="22"/>
          <w:szCs w:val="22"/>
        </w:rPr>
        <w:t>Taxes</w:t>
      </w:r>
    </w:p>
    <w:p w14:paraId="46DAC7B6" w14:textId="77777777" w:rsidR="00A81DCD" w:rsidRPr="00D204A8" w:rsidRDefault="00A81DCD" w:rsidP="00A81DCD">
      <w:pPr>
        <w:jc w:val="both"/>
        <w:rPr>
          <w:i/>
          <w:iCs/>
          <w:sz w:val="22"/>
          <w:szCs w:val="22"/>
        </w:rPr>
      </w:pPr>
      <w:r w:rsidRPr="00D204A8">
        <w:rPr>
          <w:i/>
          <w:iCs/>
          <w:sz w:val="22"/>
          <w:szCs w:val="22"/>
        </w:rPr>
        <w:t> </w:t>
      </w:r>
    </w:p>
    <w:bookmarkEnd w:id="32"/>
    <w:p w14:paraId="44481E83" w14:textId="3AD515E5" w:rsidR="000F69D8" w:rsidRPr="000634A4" w:rsidRDefault="000F69D8" w:rsidP="000F69D8">
      <w:pPr>
        <w:ind w:firstLine="720"/>
        <w:jc w:val="both"/>
        <w:rPr>
          <w:spacing w:val="-2"/>
          <w:sz w:val="22"/>
          <w:szCs w:val="22"/>
        </w:rPr>
      </w:pPr>
      <w:r w:rsidRPr="00D204A8">
        <w:rPr>
          <w:spacing w:val="-2"/>
          <w:sz w:val="22"/>
          <w:szCs w:val="22"/>
        </w:rPr>
        <w:t>We recorded a provision for income taxes of approximately $</w:t>
      </w:r>
      <w:r w:rsidR="00AF2FED" w:rsidRPr="00D204A8">
        <w:rPr>
          <w:spacing w:val="-2"/>
          <w:sz w:val="22"/>
          <w:szCs w:val="22"/>
        </w:rPr>
        <w:t>1.</w:t>
      </w:r>
      <w:r w:rsidR="00FC1056" w:rsidRPr="00D204A8">
        <w:rPr>
          <w:spacing w:val="-2"/>
          <w:sz w:val="22"/>
          <w:szCs w:val="22"/>
        </w:rPr>
        <w:t xml:space="preserve">5 </w:t>
      </w:r>
      <w:r w:rsidRPr="00D204A8">
        <w:rPr>
          <w:spacing w:val="-2"/>
          <w:sz w:val="22"/>
          <w:szCs w:val="22"/>
        </w:rPr>
        <w:t>million and $</w:t>
      </w:r>
      <w:r w:rsidR="00466EEB" w:rsidRPr="00D204A8">
        <w:rPr>
          <w:spacing w:val="-2"/>
          <w:sz w:val="22"/>
          <w:szCs w:val="22"/>
        </w:rPr>
        <w:t>0.</w:t>
      </w:r>
      <w:r w:rsidR="004C4FAE" w:rsidRPr="00D204A8">
        <w:rPr>
          <w:spacing w:val="-2"/>
          <w:sz w:val="22"/>
          <w:szCs w:val="22"/>
        </w:rPr>
        <w:t xml:space="preserve">8 </w:t>
      </w:r>
      <w:r w:rsidRPr="00D204A8">
        <w:rPr>
          <w:spacing w:val="-2"/>
          <w:sz w:val="22"/>
          <w:szCs w:val="22"/>
        </w:rPr>
        <w:t xml:space="preserve">million for the years ended December 31, </w:t>
      </w:r>
      <w:r w:rsidR="004C4FAE" w:rsidRPr="00D204A8">
        <w:rPr>
          <w:spacing w:val="-2"/>
          <w:sz w:val="22"/>
          <w:szCs w:val="22"/>
        </w:rPr>
        <w:t xml:space="preserve">2022 </w:t>
      </w:r>
      <w:r w:rsidRPr="00D204A8">
        <w:rPr>
          <w:spacing w:val="-2"/>
          <w:sz w:val="22"/>
          <w:szCs w:val="22"/>
        </w:rPr>
        <w:t xml:space="preserve">and </w:t>
      </w:r>
      <w:r w:rsidR="004C4FAE" w:rsidRPr="00D204A8">
        <w:rPr>
          <w:spacing w:val="-2"/>
          <w:sz w:val="22"/>
          <w:szCs w:val="22"/>
        </w:rPr>
        <w:t>2021</w:t>
      </w:r>
      <w:r w:rsidRPr="00D204A8">
        <w:rPr>
          <w:spacing w:val="-2"/>
          <w:sz w:val="22"/>
          <w:szCs w:val="22"/>
        </w:rPr>
        <w:t xml:space="preserve">, respectively. Tax-related charges primarily consisted of a provision for foreign taxes recorded in accordance with the local tax regulations by our foreign subsidiaries. Effective income tax rates are disproportionate primarily due to the valuation allowance recorded on the deferred taxes </w:t>
      </w:r>
      <w:r w:rsidR="00F56AC5" w:rsidRPr="00D204A8">
        <w:rPr>
          <w:spacing w:val="-2"/>
          <w:sz w:val="22"/>
          <w:szCs w:val="22"/>
        </w:rPr>
        <w:t>o</w:t>
      </w:r>
      <w:r w:rsidR="00F56AC5">
        <w:rPr>
          <w:spacing w:val="-2"/>
          <w:sz w:val="22"/>
          <w:szCs w:val="22"/>
        </w:rPr>
        <w:t>f</w:t>
      </w:r>
      <w:r w:rsidR="00F56AC5" w:rsidRPr="00D204A8">
        <w:rPr>
          <w:spacing w:val="-2"/>
          <w:sz w:val="22"/>
          <w:szCs w:val="22"/>
        </w:rPr>
        <w:t xml:space="preserve"> </w:t>
      </w:r>
      <w:r w:rsidRPr="00D204A8">
        <w:rPr>
          <w:spacing w:val="-2"/>
          <w:sz w:val="22"/>
          <w:szCs w:val="22"/>
        </w:rPr>
        <w:t>the U.S.</w:t>
      </w:r>
      <w:r w:rsidR="002D08FD" w:rsidRPr="00D204A8">
        <w:rPr>
          <w:spacing w:val="-2"/>
          <w:sz w:val="22"/>
          <w:szCs w:val="22"/>
        </w:rPr>
        <w:t>,</w:t>
      </w:r>
      <w:r w:rsidRPr="00D204A8">
        <w:rPr>
          <w:spacing w:val="-2"/>
          <w:sz w:val="22"/>
          <w:szCs w:val="22"/>
        </w:rPr>
        <w:t xml:space="preserve"> Canadian</w:t>
      </w:r>
      <w:r w:rsidR="00960585" w:rsidRPr="00D204A8">
        <w:rPr>
          <w:spacing w:val="-2"/>
          <w:sz w:val="22"/>
          <w:szCs w:val="22"/>
        </w:rPr>
        <w:t xml:space="preserve">, German and </w:t>
      </w:r>
      <w:r w:rsidR="005E44A3" w:rsidRPr="00D204A8">
        <w:rPr>
          <w:spacing w:val="-2"/>
          <w:sz w:val="22"/>
          <w:szCs w:val="22"/>
        </w:rPr>
        <w:t>the</w:t>
      </w:r>
      <w:r w:rsidR="005E44A3" w:rsidRPr="000221CD">
        <w:rPr>
          <w:spacing w:val="-2"/>
          <w:sz w:val="22"/>
          <w:szCs w:val="22"/>
        </w:rPr>
        <w:t xml:space="preserve"> </w:t>
      </w:r>
      <w:r w:rsidR="00710979" w:rsidRPr="000221CD">
        <w:rPr>
          <w:spacing w:val="-2"/>
          <w:sz w:val="22"/>
          <w:szCs w:val="22"/>
        </w:rPr>
        <w:t>United Kingdom</w:t>
      </w:r>
      <w:r w:rsidRPr="000221CD">
        <w:rPr>
          <w:spacing w:val="-2"/>
          <w:sz w:val="22"/>
          <w:szCs w:val="22"/>
        </w:rPr>
        <w:t xml:space="preserve"> </w:t>
      </w:r>
      <w:r w:rsidR="00FD1B7C" w:rsidRPr="00D204A8">
        <w:rPr>
          <w:spacing w:val="-2"/>
          <w:sz w:val="22"/>
          <w:szCs w:val="22"/>
        </w:rPr>
        <w:t>subsidiaries</w:t>
      </w:r>
      <w:r w:rsidRPr="000221CD">
        <w:rPr>
          <w:spacing w:val="-2"/>
          <w:sz w:val="22"/>
          <w:szCs w:val="22"/>
        </w:rPr>
        <w:t xml:space="preserve">. See Note </w:t>
      </w:r>
      <w:r w:rsidR="00EB3913" w:rsidRPr="000221CD">
        <w:rPr>
          <w:spacing w:val="-2"/>
          <w:sz w:val="22"/>
          <w:szCs w:val="22"/>
        </w:rPr>
        <w:t>4</w:t>
      </w:r>
      <w:r w:rsidRPr="000221CD">
        <w:rPr>
          <w:spacing w:val="-2"/>
          <w:sz w:val="22"/>
          <w:szCs w:val="22"/>
        </w:rPr>
        <w:t>, “</w:t>
      </w:r>
      <w:r w:rsidR="00EB3913" w:rsidRPr="000221CD">
        <w:rPr>
          <w:spacing w:val="-2"/>
          <w:sz w:val="22"/>
          <w:szCs w:val="22"/>
        </w:rPr>
        <w:t xml:space="preserve">Income </w:t>
      </w:r>
      <w:r w:rsidRPr="000221CD">
        <w:rPr>
          <w:spacing w:val="-2"/>
          <w:sz w:val="22"/>
          <w:szCs w:val="22"/>
        </w:rPr>
        <w:t>Taxes” of the notes to the consolidated financial statements for additional information.</w:t>
      </w:r>
      <w:r w:rsidRPr="000634A4">
        <w:rPr>
          <w:spacing w:val="-2"/>
          <w:sz w:val="22"/>
          <w:szCs w:val="22"/>
        </w:rPr>
        <w:t xml:space="preserve"> </w:t>
      </w:r>
    </w:p>
    <w:p w14:paraId="0A80A82A" w14:textId="77777777" w:rsidR="00A81DCD" w:rsidRPr="000634A4" w:rsidRDefault="00A81DCD" w:rsidP="00A81DCD">
      <w:pPr>
        <w:ind w:firstLine="720"/>
        <w:jc w:val="both"/>
        <w:rPr>
          <w:spacing w:val="-2"/>
          <w:sz w:val="22"/>
          <w:szCs w:val="22"/>
        </w:rPr>
      </w:pPr>
    </w:p>
    <w:p w14:paraId="04C0192B" w14:textId="04E5587E" w:rsidR="00A81DCD" w:rsidRPr="000634A4" w:rsidRDefault="00A81DCD" w:rsidP="00A81DCD">
      <w:pPr>
        <w:ind w:firstLine="720"/>
        <w:jc w:val="both"/>
        <w:rPr>
          <w:spacing w:val="-2"/>
          <w:sz w:val="22"/>
          <w:szCs w:val="22"/>
        </w:rPr>
      </w:pPr>
      <w:r w:rsidRPr="000634A4">
        <w:rPr>
          <w:spacing w:val="-2"/>
          <w:sz w:val="22"/>
          <w:szCs w:val="22"/>
        </w:rPr>
        <w:t xml:space="preserve">The reconciliation of the U.S. statutory rate with the Company’s effective tax rate for the years ended December 31, </w:t>
      </w:r>
      <w:r w:rsidR="004C4FAE" w:rsidRPr="000634A4">
        <w:rPr>
          <w:spacing w:val="-2"/>
          <w:sz w:val="22"/>
          <w:szCs w:val="22"/>
        </w:rPr>
        <w:t xml:space="preserve">2022 </w:t>
      </w:r>
      <w:r w:rsidRPr="000634A4">
        <w:rPr>
          <w:spacing w:val="-2"/>
          <w:sz w:val="22"/>
          <w:szCs w:val="22"/>
        </w:rPr>
        <w:t xml:space="preserve">and </w:t>
      </w:r>
      <w:r w:rsidR="004C4FAE" w:rsidRPr="000634A4">
        <w:rPr>
          <w:spacing w:val="-2"/>
          <w:sz w:val="22"/>
          <w:szCs w:val="22"/>
        </w:rPr>
        <w:t xml:space="preserve">2021 </w:t>
      </w:r>
      <w:r w:rsidRPr="000634A4">
        <w:rPr>
          <w:spacing w:val="-2"/>
          <w:sz w:val="22"/>
          <w:szCs w:val="22"/>
        </w:rPr>
        <w:t xml:space="preserve">are summarized in the table below: </w:t>
      </w:r>
    </w:p>
    <w:p w14:paraId="58924C27" w14:textId="716FCDCF" w:rsidR="00B942DF" w:rsidRPr="000634A4" w:rsidRDefault="007C1541" w:rsidP="004E2606">
      <w:pPr>
        <w:jc w:val="both"/>
        <w:rPr>
          <w:noProof/>
          <w:sz w:val="22"/>
          <w:szCs w:val="22"/>
        </w:rPr>
      </w:pPr>
      <w:r w:rsidRPr="000634A4">
        <w:rPr>
          <w:spacing w:val="-2"/>
          <w:sz w:val="22"/>
          <w:szCs w:val="22"/>
        </w:rPr>
        <w:tab/>
        <w:t xml:space="preserve">      </w:t>
      </w:r>
      <w:r w:rsidR="00004365" w:rsidRPr="000634A4">
        <w:rPr>
          <w:noProof/>
          <w:sz w:val="22"/>
          <w:szCs w:val="22"/>
        </w:rPr>
        <w:t xml:space="preserve"> </w:t>
      </w:r>
      <w:r w:rsidR="009D76F6" w:rsidRPr="000634A4">
        <w:rPr>
          <w:noProof/>
          <w:sz w:val="22"/>
          <w:szCs w:val="22"/>
        </w:rPr>
        <w:t xml:space="preserve"> </w:t>
      </w:r>
      <w:r w:rsidR="00E704D5" w:rsidRPr="000634A4">
        <w:rPr>
          <w:noProof/>
          <w:sz w:val="22"/>
          <w:szCs w:val="22"/>
        </w:rPr>
        <w:t xml:space="preserve"> </w:t>
      </w:r>
      <w:r w:rsidR="009860D7" w:rsidRPr="000634A4">
        <w:rPr>
          <w:noProof/>
          <w:sz w:val="22"/>
          <w:szCs w:val="22"/>
        </w:rPr>
        <w:t xml:space="preserve"> </w:t>
      </w:r>
      <w:r w:rsidR="007551BE" w:rsidRPr="000634A4">
        <w:rPr>
          <w:noProof/>
          <w:sz w:val="22"/>
          <w:szCs w:val="22"/>
        </w:rPr>
        <w:t xml:space="preserve"> </w:t>
      </w:r>
      <w:r w:rsidR="00307708" w:rsidRPr="000634A4">
        <w:rPr>
          <w:noProof/>
          <w:sz w:val="22"/>
          <w:szCs w:val="22"/>
        </w:rPr>
        <w:t xml:space="preserve"> </w:t>
      </w:r>
      <w:r w:rsidR="009D7F40" w:rsidRPr="000634A4">
        <w:rPr>
          <w:noProof/>
        </w:rPr>
        <w:drawing>
          <wp:inline distT="0" distB="0" distL="0" distR="0" wp14:anchorId="3F4D5E53" wp14:editId="3DEE4CF9">
            <wp:extent cx="6183630" cy="32816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3630" cy="3281680"/>
                    </a:xfrm>
                    <a:prstGeom prst="rect">
                      <a:avLst/>
                    </a:prstGeom>
                    <a:noFill/>
                    <a:ln>
                      <a:noFill/>
                    </a:ln>
                  </pic:spPr>
                </pic:pic>
              </a:graphicData>
            </a:graphic>
          </wp:inline>
        </w:drawing>
      </w:r>
    </w:p>
    <w:p w14:paraId="7B794F26" w14:textId="6AC2F33C" w:rsidR="00A81DCD" w:rsidRPr="000634A4" w:rsidRDefault="00A81DCD" w:rsidP="00A81DCD">
      <w:pPr>
        <w:ind w:firstLine="720"/>
        <w:jc w:val="both"/>
        <w:rPr>
          <w:sz w:val="22"/>
          <w:szCs w:val="22"/>
        </w:rPr>
      </w:pPr>
      <w:bookmarkStart w:id="33" w:name="_Hlk33015059"/>
      <w:r w:rsidRPr="000634A4">
        <w:rPr>
          <w:sz w:val="22"/>
          <w:szCs w:val="22"/>
        </w:rPr>
        <w:t>Despite access to overseas earnings and the resulting toll charge, we intend to indefinitely reinvest earnings</w:t>
      </w:r>
      <w:r w:rsidR="00235FC4" w:rsidRPr="000634A4">
        <w:rPr>
          <w:sz w:val="22"/>
          <w:szCs w:val="22"/>
        </w:rPr>
        <w:t xml:space="preserve"> and profits</w:t>
      </w:r>
      <w:r w:rsidRPr="000634A4">
        <w:rPr>
          <w:sz w:val="22"/>
          <w:szCs w:val="22"/>
        </w:rPr>
        <w:t xml:space="preserve"> in our foreign subsidiaries on account of the foreign jurisdiction withholding taxes that we would have to incur on the actual remittances. Unremitted </w:t>
      </w:r>
      <w:r w:rsidR="006B3FAE" w:rsidRPr="000634A4">
        <w:rPr>
          <w:sz w:val="22"/>
          <w:szCs w:val="22"/>
        </w:rPr>
        <w:t xml:space="preserve">foreign </w:t>
      </w:r>
      <w:r w:rsidRPr="000634A4">
        <w:rPr>
          <w:sz w:val="22"/>
          <w:szCs w:val="22"/>
        </w:rPr>
        <w:t xml:space="preserve">earnings </w:t>
      </w:r>
      <w:r w:rsidR="006B3FAE" w:rsidRPr="000634A4">
        <w:rPr>
          <w:sz w:val="22"/>
          <w:szCs w:val="22"/>
        </w:rPr>
        <w:t>and profits</w:t>
      </w:r>
      <w:r w:rsidRPr="000634A4">
        <w:rPr>
          <w:sz w:val="22"/>
          <w:szCs w:val="22"/>
        </w:rPr>
        <w:t xml:space="preserve"> amounted to </w:t>
      </w:r>
      <w:r w:rsidR="003C4BDF" w:rsidRPr="000634A4">
        <w:rPr>
          <w:sz w:val="22"/>
          <w:szCs w:val="22"/>
        </w:rPr>
        <w:t>approximately $</w:t>
      </w:r>
      <w:r w:rsidR="004E61F9" w:rsidRPr="000634A4">
        <w:rPr>
          <w:sz w:val="22"/>
          <w:szCs w:val="22"/>
        </w:rPr>
        <w:t>50</w:t>
      </w:r>
      <w:r w:rsidR="006F76DB" w:rsidRPr="000634A4">
        <w:rPr>
          <w:sz w:val="22"/>
          <w:szCs w:val="22"/>
        </w:rPr>
        <w:t>.</w:t>
      </w:r>
      <w:r w:rsidR="004C7D24" w:rsidRPr="000634A4">
        <w:rPr>
          <w:sz w:val="22"/>
          <w:szCs w:val="22"/>
        </w:rPr>
        <w:t xml:space="preserve">9 </w:t>
      </w:r>
      <w:r w:rsidRPr="000634A4">
        <w:rPr>
          <w:sz w:val="22"/>
          <w:szCs w:val="22"/>
        </w:rPr>
        <w:t xml:space="preserve">million at December 31, </w:t>
      </w:r>
      <w:r w:rsidR="004C4FAE" w:rsidRPr="000634A4">
        <w:rPr>
          <w:sz w:val="22"/>
          <w:szCs w:val="22"/>
        </w:rPr>
        <w:t>2022</w:t>
      </w:r>
      <w:r w:rsidRPr="000634A4">
        <w:rPr>
          <w:sz w:val="22"/>
          <w:szCs w:val="22"/>
        </w:rPr>
        <w:t xml:space="preserve">. If such </w:t>
      </w:r>
      <w:r w:rsidR="00E14422" w:rsidRPr="000634A4">
        <w:rPr>
          <w:sz w:val="22"/>
          <w:szCs w:val="22"/>
        </w:rPr>
        <w:t xml:space="preserve">foreign </w:t>
      </w:r>
      <w:r w:rsidRPr="000634A4">
        <w:rPr>
          <w:sz w:val="22"/>
          <w:szCs w:val="22"/>
        </w:rPr>
        <w:t xml:space="preserve">earnings </w:t>
      </w:r>
      <w:r w:rsidR="00E14422" w:rsidRPr="000634A4">
        <w:rPr>
          <w:sz w:val="22"/>
          <w:szCs w:val="22"/>
        </w:rPr>
        <w:t xml:space="preserve">and profits </w:t>
      </w:r>
      <w:r w:rsidRPr="000634A4">
        <w:rPr>
          <w:sz w:val="22"/>
          <w:szCs w:val="22"/>
        </w:rPr>
        <w:t xml:space="preserve">are repatriated in the future, or are no longer deemed to be indefinitely reinvested, we would have to accrue the applicable amount of foreign jurisdiction withholding taxes associated with such remittances. </w:t>
      </w:r>
    </w:p>
    <w:p w14:paraId="77DE671A" w14:textId="77777777" w:rsidR="00A81DCD" w:rsidRPr="000634A4" w:rsidRDefault="00A81DCD" w:rsidP="00A81DCD">
      <w:pPr>
        <w:tabs>
          <w:tab w:val="left" w:pos="720"/>
        </w:tabs>
        <w:suppressAutoHyphens/>
        <w:spacing w:line="240" w:lineRule="atLeast"/>
        <w:ind w:firstLine="720"/>
        <w:jc w:val="both"/>
        <w:rPr>
          <w:sz w:val="22"/>
          <w:szCs w:val="22"/>
        </w:rPr>
      </w:pPr>
    </w:p>
    <w:bookmarkEnd w:id="33"/>
    <w:p w14:paraId="2A264BDB" w14:textId="40AF9198" w:rsidR="00A81DCD" w:rsidRPr="000634A4" w:rsidRDefault="00A81DCD" w:rsidP="00A81DCD">
      <w:pPr>
        <w:ind w:firstLine="720"/>
        <w:jc w:val="both"/>
        <w:rPr>
          <w:sz w:val="22"/>
          <w:szCs w:val="22"/>
        </w:rPr>
      </w:pPr>
      <w:r w:rsidRPr="000221CD">
        <w:rPr>
          <w:sz w:val="22"/>
          <w:szCs w:val="22"/>
        </w:rPr>
        <w:t>We have a valuation allowance on all of our U.S. deferred tax assets on account of continuing losses incurred by our U.S. entit</w:t>
      </w:r>
      <w:r w:rsidR="00F86573">
        <w:rPr>
          <w:sz w:val="22"/>
          <w:szCs w:val="22"/>
        </w:rPr>
        <w:t>y</w:t>
      </w:r>
      <w:r w:rsidRPr="000221CD">
        <w:rPr>
          <w:sz w:val="22"/>
          <w:szCs w:val="22"/>
        </w:rPr>
        <w:t>. In addition, we also have a valuation allowance on the deferred tax assets of our Canadian</w:t>
      </w:r>
      <w:r w:rsidR="00B5646E" w:rsidRPr="000221CD">
        <w:rPr>
          <w:spacing w:val="-2"/>
          <w:sz w:val="22"/>
          <w:szCs w:val="22"/>
        </w:rPr>
        <w:t xml:space="preserve">, German </w:t>
      </w:r>
      <w:r w:rsidR="00B5646E" w:rsidRPr="00D204A8">
        <w:rPr>
          <w:spacing w:val="-2"/>
          <w:sz w:val="22"/>
          <w:szCs w:val="22"/>
        </w:rPr>
        <w:t xml:space="preserve">and </w:t>
      </w:r>
      <w:r w:rsidR="005E44A3" w:rsidRPr="00D204A8">
        <w:rPr>
          <w:spacing w:val="-2"/>
          <w:sz w:val="22"/>
          <w:szCs w:val="22"/>
        </w:rPr>
        <w:t xml:space="preserve">the </w:t>
      </w:r>
      <w:r w:rsidR="00B5646E" w:rsidRPr="00D204A8">
        <w:rPr>
          <w:spacing w:val="-2"/>
          <w:sz w:val="22"/>
          <w:szCs w:val="22"/>
        </w:rPr>
        <w:t>United</w:t>
      </w:r>
      <w:r w:rsidR="00B5646E" w:rsidRPr="000221CD">
        <w:rPr>
          <w:spacing w:val="-2"/>
          <w:sz w:val="22"/>
          <w:szCs w:val="22"/>
        </w:rPr>
        <w:t xml:space="preserve"> Kingdom</w:t>
      </w:r>
      <w:r w:rsidRPr="000634A4">
        <w:rPr>
          <w:sz w:val="22"/>
          <w:szCs w:val="22"/>
        </w:rPr>
        <w:t xml:space="preserve"> subsidiaries. Our Canadian subsidiaries also have research and development </w:t>
      </w:r>
      <w:r w:rsidR="00A41819" w:rsidRPr="000634A4">
        <w:rPr>
          <w:sz w:val="22"/>
          <w:szCs w:val="22"/>
        </w:rPr>
        <w:t xml:space="preserve">credits </w:t>
      </w:r>
      <w:r w:rsidRPr="000634A4">
        <w:rPr>
          <w:sz w:val="22"/>
          <w:szCs w:val="22"/>
        </w:rPr>
        <w:t>available to reduce taxable income in future years, which may be carried forward indefinitely. The potential benefits from these balances have not been recognized for financial statement purposes.</w:t>
      </w:r>
    </w:p>
    <w:p w14:paraId="1C888F0E" w14:textId="77777777" w:rsidR="004C7D24" w:rsidRPr="000634A4" w:rsidRDefault="004C7D24" w:rsidP="00A81DCD">
      <w:pPr>
        <w:ind w:firstLine="720"/>
        <w:jc w:val="both"/>
        <w:rPr>
          <w:sz w:val="22"/>
          <w:szCs w:val="22"/>
        </w:rPr>
      </w:pPr>
    </w:p>
    <w:p w14:paraId="0FB6D415" w14:textId="77777777" w:rsidR="00A81DCD" w:rsidRPr="000634A4" w:rsidRDefault="00A81DCD" w:rsidP="00A81DCD">
      <w:pPr>
        <w:jc w:val="both"/>
        <w:rPr>
          <w:i/>
          <w:iCs/>
          <w:sz w:val="22"/>
          <w:szCs w:val="22"/>
        </w:rPr>
      </w:pPr>
      <w:r w:rsidRPr="000634A4">
        <w:rPr>
          <w:i/>
          <w:iCs/>
          <w:sz w:val="22"/>
          <w:szCs w:val="22"/>
        </w:rPr>
        <w:t>Tax Assessments</w:t>
      </w:r>
    </w:p>
    <w:p w14:paraId="73F2DBC1" w14:textId="77777777" w:rsidR="00A81DCD" w:rsidRPr="000634A4" w:rsidRDefault="00A81DCD" w:rsidP="00A81DCD">
      <w:pPr>
        <w:jc w:val="both"/>
        <w:rPr>
          <w:sz w:val="22"/>
          <w:szCs w:val="22"/>
        </w:rPr>
      </w:pPr>
    </w:p>
    <w:p w14:paraId="69F2A40A" w14:textId="465D041B" w:rsidR="006F4DEE" w:rsidRPr="000634A4" w:rsidRDefault="007466A3" w:rsidP="00A81DCD">
      <w:pPr>
        <w:ind w:firstLine="720"/>
        <w:jc w:val="both"/>
        <w:rPr>
          <w:sz w:val="22"/>
          <w:szCs w:val="22"/>
        </w:rPr>
      </w:pPr>
      <w:r w:rsidRPr="000634A4">
        <w:rPr>
          <w:sz w:val="22"/>
          <w:szCs w:val="22"/>
        </w:rPr>
        <w:t xml:space="preserve">In September 2015, </w:t>
      </w:r>
      <w:r w:rsidR="009C70C5" w:rsidRPr="000634A4">
        <w:rPr>
          <w:sz w:val="22"/>
          <w:szCs w:val="22"/>
        </w:rPr>
        <w:t>our</w:t>
      </w:r>
      <w:r w:rsidRPr="000634A4">
        <w:rPr>
          <w:sz w:val="22"/>
          <w:szCs w:val="22"/>
        </w:rPr>
        <w:t xml:space="preserve"> Indian subsidiary was subject to an inquiry by the Service Tax Department in India regarding the classification of services provided by this subsidiary, asserting that the services provided by this subsidiary fall under the category of online information and database access or retrieval services (OID Services), and not under the category of business support services (BS Services) that are exempt from service </w:t>
      </w:r>
      <w:r w:rsidRPr="000634A4">
        <w:rPr>
          <w:sz w:val="22"/>
          <w:szCs w:val="22"/>
        </w:rPr>
        <w:lastRenderedPageBreak/>
        <w:t xml:space="preserve">tax as historically indicated in the subsidiary’s service tax filings. </w:t>
      </w:r>
      <w:r w:rsidR="009C70C5" w:rsidRPr="000634A4">
        <w:rPr>
          <w:sz w:val="22"/>
          <w:szCs w:val="22"/>
        </w:rPr>
        <w:t>We</w:t>
      </w:r>
      <w:r w:rsidRPr="000634A4">
        <w:rPr>
          <w:sz w:val="22"/>
          <w:szCs w:val="22"/>
        </w:rPr>
        <w:t xml:space="preserve"> disagree with the Service Tax Department’s position. In November 2019, the Commissioner of Central Tax, GST &amp; Central Excise issued an order confirming the Service Tax Department’s position. </w:t>
      </w:r>
      <w:r w:rsidR="009C70C5" w:rsidRPr="000634A4">
        <w:rPr>
          <w:sz w:val="22"/>
          <w:szCs w:val="22"/>
        </w:rPr>
        <w:t>We are</w:t>
      </w:r>
      <w:r w:rsidRPr="000634A4">
        <w:rPr>
          <w:sz w:val="22"/>
          <w:szCs w:val="22"/>
        </w:rPr>
        <w:t xml:space="preserve"> contesting this order in an appeal to the Customs, Excise and Service Tax Appellate Tribunal. In the event the Service Tax Department is ultimately successful in proving that the services fall under the category of OID Services, the revenues earned by </w:t>
      </w:r>
      <w:r w:rsidR="009C70C5" w:rsidRPr="000634A4">
        <w:rPr>
          <w:sz w:val="22"/>
          <w:szCs w:val="22"/>
        </w:rPr>
        <w:t>our</w:t>
      </w:r>
      <w:r w:rsidRPr="000634A4">
        <w:rPr>
          <w:sz w:val="22"/>
          <w:szCs w:val="22"/>
        </w:rPr>
        <w:t xml:space="preserve"> Indian subsidiary for the period July 2012 through November 2016 would be subject to a service tax of between 12.36% and 15%, and this subsidiary may also be liable for interest and penalties. The revenue of </w:t>
      </w:r>
      <w:r w:rsidR="009C70C5" w:rsidRPr="000634A4">
        <w:rPr>
          <w:sz w:val="22"/>
          <w:szCs w:val="22"/>
        </w:rPr>
        <w:t>our</w:t>
      </w:r>
      <w:r w:rsidRPr="000634A4">
        <w:rPr>
          <w:sz w:val="22"/>
          <w:szCs w:val="22"/>
        </w:rPr>
        <w:t xml:space="preserve"> Indian subsidiary during this period was approximately $</w:t>
      </w:r>
      <w:r w:rsidR="00E33E5B" w:rsidRPr="000634A4">
        <w:rPr>
          <w:sz w:val="22"/>
          <w:szCs w:val="22"/>
        </w:rPr>
        <w:t>57</w:t>
      </w:r>
      <w:r w:rsidRPr="000634A4">
        <w:rPr>
          <w:sz w:val="22"/>
          <w:szCs w:val="22"/>
        </w:rPr>
        <w:t xml:space="preserve">.0 million. In accordance with new rules promulgated by the Service Tax Department, as of December 1, 2016 service tax is no longer applicable to OID or BS Services. Based on </w:t>
      </w:r>
      <w:r w:rsidR="009C70C5" w:rsidRPr="000634A4">
        <w:rPr>
          <w:sz w:val="22"/>
          <w:szCs w:val="22"/>
        </w:rPr>
        <w:t>our</w:t>
      </w:r>
      <w:r w:rsidRPr="000634A4">
        <w:rPr>
          <w:sz w:val="22"/>
          <w:szCs w:val="22"/>
        </w:rPr>
        <w:t xml:space="preserve"> assessment in consultation with </w:t>
      </w:r>
      <w:r w:rsidR="009C70C5" w:rsidRPr="000634A4">
        <w:rPr>
          <w:sz w:val="22"/>
          <w:szCs w:val="22"/>
        </w:rPr>
        <w:t>our</w:t>
      </w:r>
      <w:r w:rsidRPr="000634A4">
        <w:rPr>
          <w:sz w:val="22"/>
          <w:szCs w:val="22"/>
        </w:rPr>
        <w:t xml:space="preserve"> tax counsel, </w:t>
      </w:r>
      <w:r w:rsidR="009C70C5" w:rsidRPr="000634A4">
        <w:rPr>
          <w:sz w:val="22"/>
          <w:szCs w:val="22"/>
        </w:rPr>
        <w:t>we have</w:t>
      </w:r>
      <w:r w:rsidRPr="000634A4">
        <w:rPr>
          <w:sz w:val="22"/>
          <w:szCs w:val="22"/>
        </w:rPr>
        <w:t xml:space="preserve"> not recorded any tax liability for this case.</w:t>
      </w:r>
    </w:p>
    <w:p w14:paraId="4C7B7844" w14:textId="77777777" w:rsidR="000E5743" w:rsidRPr="000634A4" w:rsidRDefault="000E5743" w:rsidP="00A81DCD">
      <w:pPr>
        <w:ind w:firstLine="720"/>
        <w:jc w:val="both"/>
        <w:rPr>
          <w:sz w:val="22"/>
          <w:szCs w:val="22"/>
        </w:rPr>
      </w:pPr>
    </w:p>
    <w:p w14:paraId="4F4D7E03" w14:textId="62AB03B0" w:rsidR="00B37EB9" w:rsidRPr="000634A4" w:rsidRDefault="00B37EB9" w:rsidP="00B37EB9">
      <w:pPr>
        <w:ind w:firstLine="720"/>
        <w:jc w:val="both"/>
        <w:rPr>
          <w:sz w:val="22"/>
          <w:szCs w:val="22"/>
        </w:rPr>
      </w:pPr>
      <w:r w:rsidRPr="000634A4">
        <w:rPr>
          <w:sz w:val="22"/>
          <w:szCs w:val="22"/>
        </w:rPr>
        <w:t xml:space="preserve">In a separate action relating to service tax refunds, in October 2016, </w:t>
      </w:r>
      <w:r w:rsidR="009C70C5" w:rsidRPr="000634A4">
        <w:rPr>
          <w:sz w:val="22"/>
          <w:szCs w:val="22"/>
        </w:rPr>
        <w:t>our</w:t>
      </w:r>
      <w:r w:rsidRPr="000634A4">
        <w:rPr>
          <w:sz w:val="22"/>
          <w:szCs w:val="22"/>
        </w:rPr>
        <w:t xml:space="preserve"> Indian subsidiary received notices from the Indian Service Tax Department in India seeking to reverse service tax refunds of approximately $</w:t>
      </w:r>
      <w:r w:rsidR="009107DE" w:rsidRPr="000634A4">
        <w:rPr>
          <w:sz w:val="22"/>
          <w:szCs w:val="22"/>
        </w:rPr>
        <w:t>12</w:t>
      </w:r>
      <w:r w:rsidR="00107864" w:rsidRPr="000634A4">
        <w:rPr>
          <w:sz w:val="22"/>
          <w:szCs w:val="22"/>
        </w:rPr>
        <w:t>1</w:t>
      </w:r>
      <w:r w:rsidRPr="000634A4">
        <w:rPr>
          <w:sz w:val="22"/>
          <w:szCs w:val="22"/>
        </w:rPr>
        <w:t xml:space="preserve">,000 previously granted to </w:t>
      </w:r>
      <w:r w:rsidR="009C70C5" w:rsidRPr="000634A4">
        <w:rPr>
          <w:sz w:val="22"/>
          <w:szCs w:val="22"/>
        </w:rPr>
        <w:t>our</w:t>
      </w:r>
      <w:r w:rsidRPr="000634A4">
        <w:rPr>
          <w:sz w:val="22"/>
          <w:szCs w:val="22"/>
        </w:rPr>
        <w:t xml:space="preserve"> Indian subsidiary for three quarters in 2014, asserting that the services provided by this subsidiary fall under the category of OID Services and not BS Services. The appeal was determined in favor of the Service Tax Department. </w:t>
      </w:r>
      <w:r w:rsidR="009C70C5" w:rsidRPr="000634A4">
        <w:rPr>
          <w:sz w:val="22"/>
          <w:szCs w:val="22"/>
        </w:rPr>
        <w:t>We</w:t>
      </w:r>
      <w:r w:rsidRPr="000634A4">
        <w:rPr>
          <w:sz w:val="22"/>
          <w:szCs w:val="22"/>
        </w:rPr>
        <w:t xml:space="preserve"> disagree with the basis of this decision and is contesting it. </w:t>
      </w:r>
      <w:r w:rsidR="009C70C5" w:rsidRPr="000634A4">
        <w:rPr>
          <w:sz w:val="22"/>
          <w:szCs w:val="22"/>
        </w:rPr>
        <w:t>We</w:t>
      </w:r>
      <w:r w:rsidRPr="000634A4">
        <w:rPr>
          <w:sz w:val="22"/>
          <w:szCs w:val="22"/>
        </w:rPr>
        <w:t xml:space="preserve"> expect delays in </w:t>
      </w:r>
      <w:r w:rsidR="009C70C5" w:rsidRPr="000634A4">
        <w:rPr>
          <w:sz w:val="22"/>
          <w:szCs w:val="22"/>
        </w:rPr>
        <w:t xml:space="preserve">our </w:t>
      </w:r>
      <w:r w:rsidRPr="000634A4">
        <w:rPr>
          <w:sz w:val="22"/>
          <w:szCs w:val="22"/>
        </w:rPr>
        <w:t xml:space="preserve">Indian subsidiary receiving further service tax refunds until this matter is adjudicated with finality, and currently </w:t>
      </w:r>
      <w:r w:rsidR="009C70C5" w:rsidRPr="000634A4">
        <w:rPr>
          <w:sz w:val="22"/>
          <w:szCs w:val="22"/>
        </w:rPr>
        <w:t xml:space="preserve">have </w:t>
      </w:r>
      <w:r w:rsidRPr="000634A4">
        <w:rPr>
          <w:sz w:val="22"/>
          <w:szCs w:val="22"/>
        </w:rPr>
        <w:t>service tax credits of approximately $0.</w:t>
      </w:r>
      <w:r w:rsidR="00A057A8" w:rsidRPr="000634A4">
        <w:rPr>
          <w:sz w:val="22"/>
          <w:szCs w:val="22"/>
        </w:rPr>
        <w:t xml:space="preserve">8 </w:t>
      </w:r>
      <w:r w:rsidRPr="000634A4">
        <w:rPr>
          <w:sz w:val="22"/>
          <w:szCs w:val="22"/>
        </w:rPr>
        <w:t xml:space="preserve">million recorded as a receivable. Based on </w:t>
      </w:r>
      <w:r w:rsidR="009C70C5" w:rsidRPr="000634A4">
        <w:rPr>
          <w:sz w:val="22"/>
          <w:szCs w:val="22"/>
        </w:rPr>
        <w:t>our</w:t>
      </w:r>
      <w:r w:rsidRPr="000634A4">
        <w:rPr>
          <w:sz w:val="22"/>
          <w:szCs w:val="22"/>
        </w:rPr>
        <w:t xml:space="preserve"> assessment in consultation with </w:t>
      </w:r>
      <w:r w:rsidR="009C70C5" w:rsidRPr="000634A4">
        <w:rPr>
          <w:sz w:val="22"/>
          <w:szCs w:val="22"/>
        </w:rPr>
        <w:t>our</w:t>
      </w:r>
      <w:r w:rsidRPr="000634A4">
        <w:rPr>
          <w:sz w:val="22"/>
          <w:szCs w:val="22"/>
        </w:rPr>
        <w:t xml:space="preserve"> tax counsel, </w:t>
      </w:r>
      <w:r w:rsidR="009C70C5" w:rsidRPr="000634A4">
        <w:rPr>
          <w:sz w:val="22"/>
          <w:szCs w:val="22"/>
        </w:rPr>
        <w:t>we have</w:t>
      </w:r>
      <w:r w:rsidRPr="000634A4">
        <w:rPr>
          <w:sz w:val="22"/>
          <w:szCs w:val="22"/>
        </w:rPr>
        <w:t xml:space="preserve"> not recorded any tax liability for this case.</w:t>
      </w:r>
    </w:p>
    <w:p w14:paraId="6AE80C08" w14:textId="77777777" w:rsidR="00B37EB9" w:rsidRPr="000634A4" w:rsidRDefault="00B37EB9" w:rsidP="00B37EB9">
      <w:pPr>
        <w:jc w:val="both"/>
        <w:rPr>
          <w:sz w:val="22"/>
          <w:szCs w:val="22"/>
        </w:rPr>
      </w:pPr>
    </w:p>
    <w:p w14:paraId="42218A19" w14:textId="025DF63B" w:rsidR="00A81DCD" w:rsidRPr="000634A4" w:rsidRDefault="00B37EB9" w:rsidP="008C7740">
      <w:pPr>
        <w:ind w:firstLine="720"/>
        <w:jc w:val="both"/>
        <w:rPr>
          <w:sz w:val="22"/>
          <w:szCs w:val="22"/>
        </w:rPr>
      </w:pPr>
      <w:r w:rsidRPr="000634A4">
        <w:rPr>
          <w:sz w:val="22"/>
          <w:szCs w:val="22"/>
        </w:rPr>
        <w:t xml:space="preserve">Substantial recovery against </w:t>
      </w:r>
      <w:r w:rsidR="009C70C5" w:rsidRPr="000634A4">
        <w:rPr>
          <w:sz w:val="22"/>
          <w:szCs w:val="22"/>
        </w:rPr>
        <w:t>us</w:t>
      </w:r>
      <w:r w:rsidRPr="000634A4">
        <w:rPr>
          <w:sz w:val="22"/>
          <w:szCs w:val="22"/>
        </w:rPr>
        <w:t xml:space="preserve"> in the above referenced 2015 Service Tax Department case could have a material adverse impact on </w:t>
      </w:r>
      <w:r w:rsidR="009C70C5" w:rsidRPr="000634A4">
        <w:rPr>
          <w:sz w:val="22"/>
          <w:szCs w:val="22"/>
        </w:rPr>
        <w:t>us</w:t>
      </w:r>
      <w:r w:rsidRPr="000634A4">
        <w:rPr>
          <w:sz w:val="22"/>
          <w:szCs w:val="22"/>
        </w:rPr>
        <w:t>, and unfavorable rulings or recoveries in other tax proceedings could have a material adverse impact on the consolidated operating results of the period (and subsequent periods) in which the rulings or recovery occurs.</w:t>
      </w:r>
    </w:p>
    <w:p w14:paraId="149AD611" w14:textId="77777777" w:rsidR="00B37EB9" w:rsidRPr="000634A4" w:rsidRDefault="00B37EB9" w:rsidP="009F5AAB">
      <w:pPr>
        <w:jc w:val="both"/>
        <w:rPr>
          <w:i/>
          <w:iCs/>
          <w:sz w:val="22"/>
          <w:szCs w:val="22"/>
        </w:rPr>
      </w:pPr>
    </w:p>
    <w:p w14:paraId="77A10490" w14:textId="28385829" w:rsidR="009F5AAB" w:rsidRPr="000634A4" w:rsidRDefault="009F5AAB" w:rsidP="009F5AAB">
      <w:pPr>
        <w:jc w:val="both"/>
        <w:rPr>
          <w:i/>
          <w:iCs/>
          <w:sz w:val="22"/>
          <w:szCs w:val="22"/>
        </w:rPr>
      </w:pPr>
      <w:r w:rsidRPr="000634A4">
        <w:rPr>
          <w:i/>
          <w:iCs/>
          <w:sz w:val="22"/>
          <w:szCs w:val="22"/>
        </w:rPr>
        <w:t>Net Income</w:t>
      </w:r>
      <w:r w:rsidR="00790D8B" w:rsidRPr="000634A4">
        <w:rPr>
          <w:i/>
          <w:iCs/>
          <w:sz w:val="22"/>
          <w:szCs w:val="22"/>
        </w:rPr>
        <w:t xml:space="preserve"> (Loss)</w:t>
      </w:r>
    </w:p>
    <w:p w14:paraId="77390D15" w14:textId="77777777" w:rsidR="009F5AAB" w:rsidRPr="000634A4" w:rsidRDefault="009F5AAB" w:rsidP="009F5AAB">
      <w:pPr>
        <w:ind w:firstLine="550"/>
        <w:jc w:val="both"/>
        <w:rPr>
          <w:sz w:val="22"/>
          <w:szCs w:val="22"/>
        </w:rPr>
      </w:pPr>
      <w:r w:rsidRPr="000634A4">
        <w:rPr>
          <w:sz w:val="22"/>
          <w:szCs w:val="22"/>
        </w:rPr>
        <w:t> </w:t>
      </w:r>
    </w:p>
    <w:p w14:paraId="3CA71457" w14:textId="7A094676" w:rsidR="000F347C" w:rsidRPr="000634A4" w:rsidRDefault="009F5AAB" w:rsidP="000F347C">
      <w:pPr>
        <w:tabs>
          <w:tab w:val="left" w:pos="-720"/>
        </w:tabs>
        <w:suppressAutoHyphens/>
        <w:spacing w:line="240" w:lineRule="atLeast"/>
        <w:ind w:firstLine="720"/>
        <w:jc w:val="both"/>
        <w:rPr>
          <w:spacing w:val="-2"/>
          <w:sz w:val="22"/>
          <w:szCs w:val="22"/>
        </w:rPr>
      </w:pPr>
      <w:r w:rsidRPr="000634A4">
        <w:rPr>
          <w:spacing w:val="-2"/>
          <w:sz w:val="22"/>
          <w:szCs w:val="22"/>
        </w:rPr>
        <w:t xml:space="preserve">We had a net </w:t>
      </w:r>
      <w:r w:rsidR="00994E59" w:rsidRPr="000634A4">
        <w:rPr>
          <w:spacing w:val="-2"/>
          <w:sz w:val="22"/>
          <w:szCs w:val="22"/>
        </w:rPr>
        <w:t xml:space="preserve">loss </w:t>
      </w:r>
      <w:r w:rsidRPr="000634A4">
        <w:rPr>
          <w:spacing w:val="-2"/>
          <w:sz w:val="22"/>
          <w:szCs w:val="22"/>
        </w:rPr>
        <w:t xml:space="preserve">of </w:t>
      </w:r>
      <w:r w:rsidR="00815915" w:rsidRPr="000634A4">
        <w:rPr>
          <w:spacing w:val="-2"/>
          <w:sz w:val="22"/>
          <w:szCs w:val="22"/>
        </w:rPr>
        <w:t>$</w:t>
      </w:r>
      <w:r w:rsidR="001112C2" w:rsidRPr="000634A4">
        <w:rPr>
          <w:spacing w:val="-2"/>
          <w:sz w:val="22"/>
          <w:szCs w:val="22"/>
        </w:rPr>
        <w:t>12</w:t>
      </w:r>
      <w:r w:rsidR="004717F4" w:rsidRPr="000634A4">
        <w:rPr>
          <w:spacing w:val="-2"/>
          <w:sz w:val="22"/>
          <w:szCs w:val="22"/>
        </w:rPr>
        <w:t>.</w:t>
      </w:r>
      <w:r w:rsidR="001112C2" w:rsidRPr="000634A4">
        <w:rPr>
          <w:spacing w:val="-2"/>
          <w:sz w:val="22"/>
          <w:szCs w:val="22"/>
        </w:rPr>
        <w:t>0</w:t>
      </w:r>
      <w:r w:rsidR="00DB74FD">
        <w:rPr>
          <w:spacing w:val="-2"/>
          <w:sz w:val="22"/>
          <w:szCs w:val="22"/>
        </w:rPr>
        <w:t xml:space="preserve"> million</w:t>
      </w:r>
      <w:r w:rsidR="00F67CB3" w:rsidRPr="000634A4">
        <w:rPr>
          <w:spacing w:val="-2"/>
          <w:sz w:val="22"/>
          <w:szCs w:val="22"/>
        </w:rPr>
        <w:t xml:space="preserve"> </w:t>
      </w:r>
      <w:r w:rsidR="001A2BF7" w:rsidRPr="000634A4">
        <w:rPr>
          <w:spacing w:val="-2"/>
          <w:sz w:val="22"/>
          <w:szCs w:val="22"/>
        </w:rPr>
        <w:t xml:space="preserve">and $1.8 </w:t>
      </w:r>
      <w:r w:rsidRPr="000634A4">
        <w:rPr>
          <w:spacing w:val="-2"/>
          <w:sz w:val="22"/>
          <w:szCs w:val="22"/>
        </w:rPr>
        <w:t>million during the year</w:t>
      </w:r>
      <w:r w:rsidR="00420CA3" w:rsidRPr="000634A4">
        <w:rPr>
          <w:spacing w:val="-2"/>
          <w:sz w:val="22"/>
          <w:szCs w:val="22"/>
        </w:rPr>
        <w:t>s</w:t>
      </w:r>
      <w:r w:rsidRPr="000634A4">
        <w:rPr>
          <w:spacing w:val="-2"/>
          <w:sz w:val="22"/>
          <w:szCs w:val="22"/>
        </w:rPr>
        <w:t xml:space="preserve"> ended December 31, </w:t>
      </w:r>
      <w:r w:rsidR="001A2BF7" w:rsidRPr="000634A4">
        <w:rPr>
          <w:spacing w:val="-2"/>
          <w:sz w:val="22"/>
          <w:szCs w:val="22"/>
        </w:rPr>
        <w:t>2022</w:t>
      </w:r>
      <w:r w:rsidR="00845817" w:rsidRPr="000634A4">
        <w:rPr>
          <w:spacing w:val="-2"/>
          <w:sz w:val="22"/>
          <w:szCs w:val="22"/>
        </w:rPr>
        <w:t xml:space="preserve"> and 2021</w:t>
      </w:r>
      <w:r w:rsidR="00420CA3" w:rsidRPr="000634A4">
        <w:rPr>
          <w:spacing w:val="-2"/>
          <w:sz w:val="22"/>
          <w:szCs w:val="22"/>
        </w:rPr>
        <w:t>, respectively</w:t>
      </w:r>
      <w:r w:rsidR="00845817" w:rsidRPr="000634A4">
        <w:rPr>
          <w:spacing w:val="-2"/>
          <w:sz w:val="22"/>
          <w:szCs w:val="22"/>
        </w:rPr>
        <w:t>.</w:t>
      </w:r>
      <w:r w:rsidRPr="000634A4">
        <w:rPr>
          <w:spacing w:val="-2"/>
          <w:sz w:val="22"/>
          <w:szCs w:val="22"/>
        </w:rPr>
        <w:t xml:space="preserve"> The $</w:t>
      </w:r>
      <w:r w:rsidR="00F67CB3" w:rsidRPr="000634A4">
        <w:rPr>
          <w:spacing w:val="-2"/>
          <w:sz w:val="22"/>
          <w:szCs w:val="22"/>
        </w:rPr>
        <w:t>10</w:t>
      </w:r>
      <w:r w:rsidR="00210333" w:rsidRPr="000634A4">
        <w:rPr>
          <w:spacing w:val="-2"/>
          <w:sz w:val="22"/>
          <w:szCs w:val="22"/>
        </w:rPr>
        <w:t>.</w:t>
      </w:r>
      <w:r w:rsidR="00104A53" w:rsidRPr="000634A4">
        <w:rPr>
          <w:spacing w:val="-2"/>
          <w:sz w:val="22"/>
          <w:szCs w:val="22"/>
        </w:rPr>
        <w:t>2</w:t>
      </w:r>
      <w:r w:rsidR="00F67CB3" w:rsidRPr="000634A4">
        <w:rPr>
          <w:spacing w:val="-2"/>
          <w:sz w:val="22"/>
          <w:szCs w:val="22"/>
        </w:rPr>
        <w:t xml:space="preserve"> </w:t>
      </w:r>
      <w:r w:rsidRPr="000634A4">
        <w:rPr>
          <w:spacing w:val="-2"/>
          <w:sz w:val="22"/>
          <w:szCs w:val="22"/>
        </w:rPr>
        <w:t>million</w:t>
      </w:r>
      <w:r w:rsidR="00DD4B14" w:rsidRPr="000634A4">
        <w:rPr>
          <w:spacing w:val="-2"/>
          <w:sz w:val="22"/>
          <w:szCs w:val="22"/>
        </w:rPr>
        <w:t xml:space="preserve"> </w:t>
      </w:r>
      <w:r w:rsidR="00602770" w:rsidRPr="000634A4">
        <w:rPr>
          <w:spacing w:val="-2"/>
          <w:sz w:val="22"/>
          <w:szCs w:val="22"/>
        </w:rPr>
        <w:t xml:space="preserve">change </w:t>
      </w:r>
      <w:r w:rsidRPr="000634A4">
        <w:rPr>
          <w:spacing w:val="-2"/>
          <w:sz w:val="22"/>
          <w:szCs w:val="22"/>
        </w:rPr>
        <w:t xml:space="preserve">was </w:t>
      </w:r>
      <w:r w:rsidR="001E1949" w:rsidRPr="000634A4">
        <w:rPr>
          <w:spacing w:val="-2"/>
          <w:sz w:val="22"/>
          <w:szCs w:val="22"/>
        </w:rPr>
        <w:t xml:space="preserve">due </w:t>
      </w:r>
      <w:r w:rsidRPr="000634A4">
        <w:rPr>
          <w:spacing w:val="-2"/>
          <w:sz w:val="22"/>
          <w:szCs w:val="22"/>
        </w:rPr>
        <w:t xml:space="preserve">to </w:t>
      </w:r>
      <w:r w:rsidR="00401BC5" w:rsidRPr="000634A4">
        <w:rPr>
          <w:spacing w:val="-2"/>
          <w:sz w:val="22"/>
          <w:szCs w:val="22"/>
        </w:rPr>
        <w:t xml:space="preserve">higher Direct operating </w:t>
      </w:r>
      <w:r w:rsidR="001466FA" w:rsidRPr="000634A4">
        <w:rPr>
          <w:spacing w:val="-2"/>
          <w:sz w:val="22"/>
          <w:szCs w:val="22"/>
        </w:rPr>
        <w:t xml:space="preserve">costs </w:t>
      </w:r>
      <w:r w:rsidR="00401BC5" w:rsidRPr="000634A4">
        <w:rPr>
          <w:spacing w:val="-2"/>
          <w:sz w:val="22"/>
          <w:szCs w:val="22"/>
        </w:rPr>
        <w:t xml:space="preserve">and Selling and administrative </w:t>
      </w:r>
      <w:r w:rsidR="00120AE8" w:rsidRPr="000634A4">
        <w:rPr>
          <w:spacing w:val="-2"/>
          <w:sz w:val="22"/>
          <w:szCs w:val="22"/>
        </w:rPr>
        <w:t>expenses</w:t>
      </w:r>
      <w:r w:rsidR="00120AE8" w:rsidRPr="000634A4" w:rsidDel="00060E86">
        <w:rPr>
          <w:spacing w:val="-2"/>
          <w:sz w:val="22"/>
          <w:szCs w:val="22"/>
        </w:rPr>
        <w:t xml:space="preserve"> </w:t>
      </w:r>
      <w:r w:rsidR="002C7518" w:rsidRPr="000634A4">
        <w:rPr>
          <w:spacing w:val="-2"/>
          <w:sz w:val="22"/>
          <w:szCs w:val="22"/>
        </w:rPr>
        <w:t>in all segments</w:t>
      </w:r>
      <w:r w:rsidR="002C7518" w:rsidRPr="000634A4" w:rsidDel="00585999">
        <w:rPr>
          <w:spacing w:val="-2"/>
          <w:sz w:val="22"/>
          <w:szCs w:val="22"/>
        </w:rPr>
        <w:t xml:space="preserve"> </w:t>
      </w:r>
      <w:r w:rsidR="002C7518" w:rsidRPr="000634A4">
        <w:rPr>
          <w:spacing w:val="-2"/>
          <w:sz w:val="22"/>
          <w:szCs w:val="22"/>
        </w:rPr>
        <w:t>in the current fiscal year</w:t>
      </w:r>
      <w:r w:rsidR="006D5666" w:rsidRPr="000634A4">
        <w:rPr>
          <w:spacing w:val="-2"/>
          <w:sz w:val="22"/>
          <w:szCs w:val="22"/>
        </w:rPr>
        <w:t>, offset in part by higher revenues in all segments</w:t>
      </w:r>
      <w:r w:rsidR="000F347C" w:rsidRPr="000634A4">
        <w:rPr>
          <w:spacing w:val="-2"/>
          <w:sz w:val="22"/>
          <w:szCs w:val="22"/>
        </w:rPr>
        <w:t>, and a one-time gain on loan forgiveness amounting to $0.6 million recognized in 2021 for the DDS segment.</w:t>
      </w:r>
    </w:p>
    <w:p w14:paraId="62B7D9BC" w14:textId="4478F987" w:rsidR="009F5AAB" w:rsidRPr="000634A4" w:rsidRDefault="009F5AAB" w:rsidP="009F5AAB">
      <w:pPr>
        <w:tabs>
          <w:tab w:val="left" w:pos="-720"/>
        </w:tabs>
        <w:suppressAutoHyphens/>
        <w:spacing w:line="240" w:lineRule="atLeast"/>
        <w:ind w:firstLine="720"/>
        <w:jc w:val="both"/>
        <w:rPr>
          <w:spacing w:val="-2"/>
          <w:sz w:val="22"/>
          <w:szCs w:val="22"/>
        </w:rPr>
      </w:pPr>
    </w:p>
    <w:p w14:paraId="6793B2E8" w14:textId="6E09F9C1" w:rsidR="00A43317" w:rsidRPr="000634A4" w:rsidRDefault="00A43317" w:rsidP="009F5AAB">
      <w:pPr>
        <w:tabs>
          <w:tab w:val="left" w:pos="-720"/>
        </w:tabs>
        <w:suppressAutoHyphens/>
        <w:spacing w:line="240" w:lineRule="atLeast"/>
        <w:ind w:firstLine="720"/>
        <w:jc w:val="both"/>
        <w:rPr>
          <w:spacing w:val="-2"/>
          <w:sz w:val="22"/>
          <w:szCs w:val="22"/>
        </w:rPr>
      </w:pPr>
      <w:r w:rsidRPr="000634A4">
        <w:rPr>
          <w:spacing w:val="-2"/>
          <w:sz w:val="22"/>
          <w:szCs w:val="22"/>
        </w:rPr>
        <w:t>Net loss for the DDS segment was $0.</w:t>
      </w:r>
      <w:r w:rsidR="00104A53" w:rsidRPr="000634A4">
        <w:rPr>
          <w:spacing w:val="-2"/>
          <w:sz w:val="22"/>
          <w:szCs w:val="22"/>
        </w:rPr>
        <w:t>7</w:t>
      </w:r>
      <w:r w:rsidR="00F67CB3" w:rsidRPr="000634A4">
        <w:rPr>
          <w:spacing w:val="-2"/>
          <w:sz w:val="22"/>
          <w:szCs w:val="22"/>
        </w:rPr>
        <w:t xml:space="preserve"> </w:t>
      </w:r>
      <w:r w:rsidRPr="000634A4">
        <w:rPr>
          <w:spacing w:val="-2"/>
          <w:sz w:val="22"/>
          <w:szCs w:val="22"/>
        </w:rPr>
        <w:t>million for the year ended December 31, 2022, compared to a net income of $5.</w:t>
      </w:r>
      <w:r w:rsidR="00ED2424">
        <w:rPr>
          <w:spacing w:val="-2"/>
          <w:sz w:val="22"/>
          <w:szCs w:val="22"/>
        </w:rPr>
        <w:t>0</w:t>
      </w:r>
      <w:r w:rsidR="00ED2424" w:rsidRPr="000634A4">
        <w:rPr>
          <w:spacing w:val="-2"/>
          <w:sz w:val="22"/>
          <w:szCs w:val="22"/>
        </w:rPr>
        <w:t xml:space="preserve"> </w:t>
      </w:r>
      <w:r w:rsidRPr="000634A4">
        <w:rPr>
          <w:spacing w:val="-2"/>
          <w:sz w:val="22"/>
          <w:szCs w:val="22"/>
        </w:rPr>
        <w:t>million for the year ended December 31, 2021. The $5.</w:t>
      </w:r>
      <w:r w:rsidR="00ED6601" w:rsidRPr="000634A4">
        <w:rPr>
          <w:spacing w:val="-2"/>
          <w:sz w:val="22"/>
          <w:szCs w:val="22"/>
        </w:rPr>
        <w:t>8</w:t>
      </w:r>
      <w:r w:rsidR="00F67CB3" w:rsidRPr="000634A4">
        <w:rPr>
          <w:spacing w:val="-2"/>
          <w:sz w:val="22"/>
          <w:szCs w:val="22"/>
        </w:rPr>
        <w:t xml:space="preserve"> </w:t>
      </w:r>
      <w:r w:rsidRPr="000634A4">
        <w:rPr>
          <w:spacing w:val="-2"/>
          <w:sz w:val="22"/>
          <w:szCs w:val="22"/>
        </w:rPr>
        <w:t>million change was due to higher Direct operating costs and Selling and administrative expenses offset in part by higher revenues in the current fiscal year, and a one-time gain on loan forgiveness amounting to $0.6 million recognized in 2021.</w:t>
      </w:r>
    </w:p>
    <w:p w14:paraId="1D6B19DE" w14:textId="77777777" w:rsidR="009F5AAB" w:rsidRPr="000634A4" w:rsidRDefault="009F5AAB" w:rsidP="009F5AAB">
      <w:pPr>
        <w:tabs>
          <w:tab w:val="left" w:pos="-720"/>
        </w:tabs>
        <w:suppressAutoHyphens/>
        <w:spacing w:line="240" w:lineRule="atLeast"/>
        <w:ind w:firstLine="720"/>
        <w:jc w:val="both"/>
        <w:rPr>
          <w:spacing w:val="-2"/>
          <w:sz w:val="22"/>
          <w:szCs w:val="22"/>
        </w:rPr>
      </w:pPr>
    </w:p>
    <w:p w14:paraId="30CC08B4" w14:textId="2C408FFB" w:rsidR="009F5AAB" w:rsidRPr="000634A4" w:rsidRDefault="009F5AAB" w:rsidP="009F5AAB">
      <w:pPr>
        <w:tabs>
          <w:tab w:val="left" w:pos="-720"/>
        </w:tabs>
        <w:suppressAutoHyphens/>
        <w:spacing w:line="240" w:lineRule="atLeast"/>
        <w:ind w:firstLine="720"/>
        <w:jc w:val="both"/>
        <w:rPr>
          <w:spacing w:val="-2"/>
          <w:sz w:val="22"/>
          <w:szCs w:val="22"/>
        </w:rPr>
      </w:pPr>
      <w:r w:rsidRPr="000634A4">
        <w:rPr>
          <w:spacing w:val="-2"/>
          <w:sz w:val="22"/>
          <w:szCs w:val="22"/>
        </w:rPr>
        <w:t xml:space="preserve">Net </w:t>
      </w:r>
      <w:r w:rsidR="002A2AC4" w:rsidRPr="000634A4">
        <w:rPr>
          <w:spacing w:val="-2"/>
          <w:sz w:val="22"/>
          <w:szCs w:val="22"/>
        </w:rPr>
        <w:t>loss</w:t>
      </w:r>
      <w:r w:rsidRPr="000634A4">
        <w:rPr>
          <w:spacing w:val="-2"/>
          <w:sz w:val="22"/>
          <w:szCs w:val="22"/>
        </w:rPr>
        <w:t xml:space="preserve"> for the Synodex segment was </w:t>
      </w:r>
      <w:r w:rsidR="00815915" w:rsidRPr="000634A4">
        <w:rPr>
          <w:spacing w:val="-2"/>
          <w:sz w:val="22"/>
          <w:szCs w:val="22"/>
        </w:rPr>
        <w:t>$</w:t>
      </w:r>
      <w:r w:rsidR="00DF2A46" w:rsidRPr="000634A4">
        <w:rPr>
          <w:spacing w:val="-2"/>
          <w:sz w:val="22"/>
          <w:szCs w:val="22"/>
        </w:rPr>
        <w:t>2.6</w:t>
      </w:r>
      <w:r w:rsidR="005C4DCF">
        <w:rPr>
          <w:spacing w:val="-2"/>
          <w:sz w:val="22"/>
          <w:szCs w:val="22"/>
        </w:rPr>
        <w:t xml:space="preserve"> million</w:t>
      </w:r>
      <w:r w:rsidR="009A1ADC" w:rsidRPr="000634A4">
        <w:rPr>
          <w:spacing w:val="-2"/>
          <w:sz w:val="22"/>
          <w:szCs w:val="22"/>
        </w:rPr>
        <w:t xml:space="preserve"> and $</w:t>
      </w:r>
      <w:r w:rsidR="00815915" w:rsidRPr="000634A4">
        <w:rPr>
          <w:spacing w:val="-2"/>
          <w:sz w:val="22"/>
          <w:szCs w:val="22"/>
        </w:rPr>
        <w:t>1.</w:t>
      </w:r>
      <w:r w:rsidR="00B610C3" w:rsidRPr="000634A4">
        <w:rPr>
          <w:spacing w:val="-2"/>
          <w:sz w:val="22"/>
          <w:szCs w:val="22"/>
        </w:rPr>
        <w:t>5</w:t>
      </w:r>
      <w:r w:rsidR="00815915" w:rsidRPr="000634A4">
        <w:rPr>
          <w:spacing w:val="-2"/>
          <w:sz w:val="22"/>
          <w:szCs w:val="22"/>
        </w:rPr>
        <w:t xml:space="preserve"> </w:t>
      </w:r>
      <w:r w:rsidRPr="000634A4">
        <w:rPr>
          <w:spacing w:val="-2"/>
          <w:sz w:val="22"/>
          <w:szCs w:val="22"/>
        </w:rPr>
        <w:t>million for the year</w:t>
      </w:r>
      <w:r w:rsidR="00420CA3" w:rsidRPr="000634A4">
        <w:rPr>
          <w:spacing w:val="-2"/>
          <w:sz w:val="22"/>
          <w:szCs w:val="22"/>
        </w:rPr>
        <w:t>s</w:t>
      </w:r>
      <w:r w:rsidRPr="000634A4">
        <w:rPr>
          <w:spacing w:val="-2"/>
          <w:sz w:val="22"/>
          <w:szCs w:val="22"/>
        </w:rPr>
        <w:t xml:space="preserve"> ended December 31, </w:t>
      </w:r>
      <w:r w:rsidR="009A1ADC" w:rsidRPr="000634A4">
        <w:rPr>
          <w:spacing w:val="-2"/>
          <w:sz w:val="22"/>
          <w:szCs w:val="22"/>
        </w:rPr>
        <w:t>2022 and 2021</w:t>
      </w:r>
      <w:r w:rsidR="00420CA3" w:rsidRPr="000634A4">
        <w:rPr>
          <w:spacing w:val="-2"/>
          <w:sz w:val="22"/>
          <w:szCs w:val="22"/>
        </w:rPr>
        <w:t>, respectively</w:t>
      </w:r>
      <w:r w:rsidR="009A1ADC" w:rsidRPr="000634A4">
        <w:rPr>
          <w:spacing w:val="-2"/>
          <w:sz w:val="22"/>
          <w:szCs w:val="22"/>
        </w:rPr>
        <w:t>.</w:t>
      </w:r>
      <w:r w:rsidRPr="000634A4">
        <w:rPr>
          <w:spacing w:val="-2"/>
          <w:sz w:val="22"/>
          <w:szCs w:val="22"/>
        </w:rPr>
        <w:t xml:space="preserve"> The</w:t>
      </w:r>
      <w:r w:rsidR="00A054AE" w:rsidRPr="000634A4">
        <w:rPr>
          <w:spacing w:val="-2"/>
          <w:sz w:val="22"/>
          <w:szCs w:val="22"/>
        </w:rPr>
        <w:t xml:space="preserve"> $</w:t>
      </w:r>
      <w:r w:rsidR="00EB39E3" w:rsidRPr="000634A4">
        <w:rPr>
          <w:spacing w:val="-2"/>
          <w:sz w:val="22"/>
          <w:szCs w:val="22"/>
        </w:rPr>
        <w:t xml:space="preserve">1.1 </w:t>
      </w:r>
      <w:r w:rsidR="00A054AE" w:rsidRPr="000634A4">
        <w:rPr>
          <w:spacing w:val="-2"/>
          <w:sz w:val="22"/>
          <w:szCs w:val="22"/>
        </w:rPr>
        <w:t>million</w:t>
      </w:r>
      <w:r w:rsidRPr="000634A4">
        <w:rPr>
          <w:spacing w:val="-2"/>
          <w:sz w:val="22"/>
          <w:szCs w:val="22"/>
        </w:rPr>
        <w:t xml:space="preserve"> </w:t>
      </w:r>
      <w:r w:rsidR="001E1949" w:rsidRPr="000634A4">
        <w:rPr>
          <w:spacing w:val="-2"/>
          <w:sz w:val="22"/>
          <w:szCs w:val="22"/>
        </w:rPr>
        <w:t>change</w:t>
      </w:r>
      <w:r w:rsidRPr="000634A4">
        <w:rPr>
          <w:spacing w:val="-2"/>
          <w:sz w:val="22"/>
          <w:szCs w:val="22"/>
        </w:rPr>
        <w:t xml:space="preserve"> was primarily </w:t>
      </w:r>
      <w:r w:rsidR="00E37D7A" w:rsidRPr="000634A4">
        <w:rPr>
          <w:spacing w:val="-2"/>
          <w:sz w:val="22"/>
          <w:szCs w:val="22"/>
        </w:rPr>
        <w:t>due to higher Direct operating costs and Selling and administrative expenses, offset in part by higher revenues</w:t>
      </w:r>
      <w:r w:rsidR="00E37D7A" w:rsidRPr="000634A4" w:rsidDel="00E37D7A">
        <w:rPr>
          <w:spacing w:val="-2"/>
          <w:sz w:val="22"/>
          <w:szCs w:val="22"/>
        </w:rPr>
        <w:t xml:space="preserve"> </w:t>
      </w:r>
      <w:r w:rsidR="00E37D7A" w:rsidRPr="000634A4">
        <w:rPr>
          <w:spacing w:val="-2"/>
          <w:sz w:val="22"/>
          <w:szCs w:val="22"/>
        </w:rPr>
        <w:t xml:space="preserve">in the </w:t>
      </w:r>
      <w:r w:rsidR="00EB39E3" w:rsidRPr="000634A4">
        <w:rPr>
          <w:spacing w:val="-2"/>
          <w:sz w:val="22"/>
          <w:szCs w:val="22"/>
        </w:rPr>
        <w:t>current fiscal year</w:t>
      </w:r>
      <w:r w:rsidRPr="000634A4">
        <w:rPr>
          <w:spacing w:val="-2"/>
          <w:sz w:val="22"/>
          <w:szCs w:val="22"/>
        </w:rPr>
        <w:t xml:space="preserve">. </w:t>
      </w:r>
    </w:p>
    <w:p w14:paraId="1E76BDEE" w14:textId="77777777" w:rsidR="009F5AAB" w:rsidRPr="000634A4" w:rsidRDefault="009F5AAB" w:rsidP="009F5AAB">
      <w:pPr>
        <w:tabs>
          <w:tab w:val="left" w:pos="-720"/>
        </w:tabs>
        <w:suppressAutoHyphens/>
        <w:spacing w:line="240" w:lineRule="atLeast"/>
        <w:ind w:firstLine="720"/>
        <w:jc w:val="both"/>
        <w:rPr>
          <w:spacing w:val="-2"/>
          <w:sz w:val="22"/>
          <w:szCs w:val="22"/>
        </w:rPr>
      </w:pPr>
    </w:p>
    <w:p w14:paraId="4592B3BB" w14:textId="336348F2" w:rsidR="00442DCE" w:rsidRPr="000634A4" w:rsidRDefault="009F5AAB" w:rsidP="00442DCE">
      <w:pPr>
        <w:tabs>
          <w:tab w:val="left" w:pos="-720"/>
        </w:tabs>
        <w:suppressAutoHyphens/>
        <w:spacing w:line="240" w:lineRule="atLeast"/>
        <w:ind w:firstLine="720"/>
        <w:jc w:val="both"/>
        <w:rPr>
          <w:spacing w:val="-2"/>
          <w:sz w:val="22"/>
          <w:szCs w:val="22"/>
        </w:rPr>
      </w:pPr>
      <w:r w:rsidRPr="000634A4">
        <w:rPr>
          <w:spacing w:val="-2"/>
          <w:sz w:val="22"/>
          <w:szCs w:val="22"/>
        </w:rPr>
        <w:t xml:space="preserve">Net loss for the Agility segment was </w:t>
      </w:r>
      <w:r w:rsidR="00815915" w:rsidRPr="000634A4">
        <w:rPr>
          <w:spacing w:val="-2"/>
          <w:sz w:val="22"/>
          <w:szCs w:val="22"/>
        </w:rPr>
        <w:t>$</w:t>
      </w:r>
      <w:r w:rsidR="00AB31BD" w:rsidRPr="000634A4">
        <w:rPr>
          <w:spacing w:val="-2"/>
          <w:sz w:val="22"/>
          <w:szCs w:val="22"/>
        </w:rPr>
        <w:t>8.7</w:t>
      </w:r>
      <w:r w:rsidR="0095796C">
        <w:rPr>
          <w:spacing w:val="-2"/>
          <w:sz w:val="22"/>
          <w:szCs w:val="22"/>
        </w:rPr>
        <w:t xml:space="preserve"> million</w:t>
      </w:r>
      <w:r w:rsidR="00AB31BD" w:rsidRPr="000634A4">
        <w:rPr>
          <w:spacing w:val="-2"/>
          <w:sz w:val="22"/>
          <w:szCs w:val="22"/>
        </w:rPr>
        <w:t xml:space="preserve"> </w:t>
      </w:r>
      <w:r w:rsidR="009A1ADC" w:rsidRPr="000634A4">
        <w:rPr>
          <w:spacing w:val="-2"/>
          <w:sz w:val="22"/>
          <w:szCs w:val="22"/>
        </w:rPr>
        <w:t>and $</w:t>
      </w:r>
      <w:r w:rsidR="00815915" w:rsidRPr="000634A4">
        <w:rPr>
          <w:spacing w:val="-2"/>
          <w:sz w:val="22"/>
          <w:szCs w:val="22"/>
        </w:rPr>
        <w:t xml:space="preserve">5.3 </w:t>
      </w:r>
      <w:r w:rsidRPr="000634A4">
        <w:rPr>
          <w:spacing w:val="-2"/>
          <w:sz w:val="22"/>
          <w:szCs w:val="22"/>
        </w:rPr>
        <w:t>million for the year</w:t>
      </w:r>
      <w:r w:rsidR="00420CA3" w:rsidRPr="000634A4">
        <w:rPr>
          <w:spacing w:val="-2"/>
          <w:sz w:val="22"/>
          <w:szCs w:val="22"/>
        </w:rPr>
        <w:t>s</w:t>
      </w:r>
      <w:r w:rsidRPr="000634A4">
        <w:rPr>
          <w:spacing w:val="-2"/>
          <w:sz w:val="22"/>
          <w:szCs w:val="22"/>
        </w:rPr>
        <w:t xml:space="preserve"> ended December 31, </w:t>
      </w:r>
      <w:r w:rsidR="009A1ADC" w:rsidRPr="000634A4">
        <w:rPr>
          <w:spacing w:val="-2"/>
          <w:sz w:val="22"/>
          <w:szCs w:val="22"/>
        </w:rPr>
        <w:t>2022 and 2021</w:t>
      </w:r>
      <w:r w:rsidR="00420CA3" w:rsidRPr="000634A4">
        <w:rPr>
          <w:spacing w:val="-2"/>
          <w:sz w:val="22"/>
          <w:szCs w:val="22"/>
        </w:rPr>
        <w:t>, respectively</w:t>
      </w:r>
      <w:r w:rsidR="009A1ADC" w:rsidRPr="000634A4">
        <w:rPr>
          <w:spacing w:val="-2"/>
          <w:sz w:val="22"/>
          <w:szCs w:val="22"/>
        </w:rPr>
        <w:t>.</w:t>
      </w:r>
      <w:r w:rsidRPr="000634A4">
        <w:rPr>
          <w:spacing w:val="-2"/>
          <w:sz w:val="22"/>
          <w:szCs w:val="22"/>
        </w:rPr>
        <w:t xml:space="preserve"> The $</w:t>
      </w:r>
      <w:r w:rsidR="00AB31BD" w:rsidRPr="000634A4">
        <w:rPr>
          <w:spacing w:val="-2"/>
          <w:sz w:val="22"/>
          <w:szCs w:val="22"/>
        </w:rPr>
        <w:t xml:space="preserve">3.4 </w:t>
      </w:r>
      <w:r w:rsidRPr="000634A4">
        <w:rPr>
          <w:spacing w:val="-2"/>
          <w:sz w:val="22"/>
          <w:szCs w:val="22"/>
        </w:rPr>
        <w:t>million</w:t>
      </w:r>
      <w:r w:rsidR="001329DF" w:rsidRPr="000634A4">
        <w:rPr>
          <w:spacing w:val="-2"/>
          <w:sz w:val="22"/>
          <w:szCs w:val="22"/>
        </w:rPr>
        <w:t xml:space="preserve"> </w:t>
      </w:r>
      <w:r w:rsidR="00AB31BD" w:rsidRPr="000634A4">
        <w:rPr>
          <w:spacing w:val="-2"/>
          <w:sz w:val="22"/>
          <w:szCs w:val="22"/>
        </w:rPr>
        <w:t xml:space="preserve">change </w:t>
      </w:r>
      <w:r w:rsidRPr="000634A4">
        <w:rPr>
          <w:spacing w:val="-2"/>
          <w:sz w:val="22"/>
          <w:szCs w:val="22"/>
        </w:rPr>
        <w:t xml:space="preserve">was </w:t>
      </w:r>
      <w:r w:rsidR="00B83DA9" w:rsidRPr="000634A4">
        <w:rPr>
          <w:spacing w:val="-2"/>
          <w:sz w:val="22"/>
          <w:szCs w:val="22"/>
        </w:rPr>
        <w:t xml:space="preserve">primarily </w:t>
      </w:r>
      <w:r w:rsidR="00904310" w:rsidRPr="000634A4">
        <w:rPr>
          <w:spacing w:val="-2"/>
          <w:sz w:val="22"/>
          <w:szCs w:val="22"/>
        </w:rPr>
        <w:t xml:space="preserve">due to higher Direct operating costs and Selling and administrative expenses, offset in part by higher revenues </w:t>
      </w:r>
      <w:r w:rsidR="00AB31BD" w:rsidRPr="000634A4">
        <w:rPr>
          <w:spacing w:val="-2"/>
          <w:sz w:val="22"/>
          <w:szCs w:val="22"/>
        </w:rPr>
        <w:t xml:space="preserve">in </w:t>
      </w:r>
      <w:r w:rsidR="00904310" w:rsidRPr="000634A4">
        <w:rPr>
          <w:spacing w:val="-2"/>
          <w:sz w:val="22"/>
          <w:szCs w:val="22"/>
        </w:rPr>
        <w:t xml:space="preserve">the </w:t>
      </w:r>
      <w:r w:rsidR="00AB31BD" w:rsidRPr="000634A4">
        <w:rPr>
          <w:spacing w:val="-2"/>
          <w:sz w:val="22"/>
          <w:szCs w:val="22"/>
        </w:rPr>
        <w:t>current fiscal year</w:t>
      </w:r>
      <w:r w:rsidR="00A054AE" w:rsidRPr="000634A4">
        <w:rPr>
          <w:spacing w:val="-2"/>
          <w:sz w:val="22"/>
          <w:szCs w:val="22"/>
        </w:rPr>
        <w:t>.</w:t>
      </w:r>
    </w:p>
    <w:p w14:paraId="4C611373" w14:textId="1BC2CFBF" w:rsidR="009F5AAB" w:rsidRPr="000634A4" w:rsidRDefault="009F5AAB" w:rsidP="009F5AAB">
      <w:pPr>
        <w:tabs>
          <w:tab w:val="left" w:pos="-720"/>
        </w:tabs>
        <w:suppressAutoHyphens/>
        <w:spacing w:line="240" w:lineRule="atLeast"/>
        <w:ind w:firstLine="720"/>
        <w:jc w:val="both"/>
        <w:rPr>
          <w:spacing w:val="-2"/>
          <w:sz w:val="22"/>
          <w:szCs w:val="22"/>
        </w:rPr>
      </w:pPr>
    </w:p>
    <w:p w14:paraId="1D1197F1" w14:textId="77777777" w:rsidR="001104CD" w:rsidRPr="000634A4" w:rsidRDefault="001104CD" w:rsidP="001104CD">
      <w:pPr>
        <w:autoSpaceDE w:val="0"/>
        <w:autoSpaceDN w:val="0"/>
        <w:adjustRightInd w:val="0"/>
        <w:jc w:val="both"/>
        <w:rPr>
          <w:sz w:val="22"/>
          <w:szCs w:val="22"/>
        </w:rPr>
      </w:pPr>
      <w:r w:rsidRPr="000634A4">
        <w:rPr>
          <w:i/>
          <w:iCs/>
          <w:sz w:val="22"/>
          <w:szCs w:val="22"/>
        </w:rPr>
        <w:t>Adjusted EBITDA</w:t>
      </w:r>
    </w:p>
    <w:p w14:paraId="46FEC487" w14:textId="77777777" w:rsidR="001104CD" w:rsidRPr="000634A4" w:rsidRDefault="001104CD" w:rsidP="001104CD">
      <w:pPr>
        <w:tabs>
          <w:tab w:val="left" w:pos="-720"/>
        </w:tabs>
        <w:suppressAutoHyphens/>
        <w:spacing w:line="240" w:lineRule="atLeast"/>
        <w:ind w:firstLine="720"/>
        <w:jc w:val="both"/>
        <w:rPr>
          <w:i/>
          <w:spacing w:val="-2"/>
          <w:sz w:val="22"/>
          <w:szCs w:val="22"/>
        </w:rPr>
      </w:pPr>
    </w:p>
    <w:p w14:paraId="36C64FED" w14:textId="1BB5CF7B" w:rsidR="001104CD" w:rsidRPr="000634A4" w:rsidRDefault="001104CD" w:rsidP="001104CD">
      <w:pPr>
        <w:ind w:firstLine="720"/>
        <w:jc w:val="both"/>
        <w:rPr>
          <w:spacing w:val="-2"/>
          <w:sz w:val="22"/>
          <w:szCs w:val="22"/>
        </w:rPr>
      </w:pPr>
      <w:r w:rsidRPr="000634A4">
        <w:rPr>
          <w:spacing w:val="-2"/>
          <w:sz w:val="22"/>
          <w:szCs w:val="22"/>
        </w:rPr>
        <w:t>Adjusted EBITDA for the year ended December 31, 2022 was a loss of $</w:t>
      </w:r>
      <w:r w:rsidR="00524239" w:rsidRPr="000634A4">
        <w:rPr>
          <w:spacing w:val="-2"/>
          <w:sz w:val="22"/>
          <w:szCs w:val="22"/>
        </w:rPr>
        <w:t>3.</w:t>
      </w:r>
      <w:r w:rsidR="00442CDD" w:rsidRPr="000634A4">
        <w:rPr>
          <w:spacing w:val="-2"/>
          <w:sz w:val="22"/>
          <w:szCs w:val="22"/>
        </w:rPr>
        <w:t>3</w:t>
      </w:r>
      <w:r w:rsidR="00442CDD" w:rsidRPr="000634A4" w:rsidDel="00E57172">
        <w:rPr>
          <w:spacing w:val="-2"/>
          <w:sz w:val="22"/>
          <w:szCs w:val="22"/>
        </w:rPr>
        <w:t xml:space="preserve"> </w:t>
      </w:r>
      <w:r w:rsidRPr="000634A4">
        <w:rPr>
          <w:spacing w:val="-2"/>
          <w:sz w:val="22"/>
          <w:szCs w:val="22"/>
        </w:rPr>
        <w:t>million compared to an income of $</w:t>
      </w:r>
      <w:r w:rsidR="00524239" w:rsidRPr="000634A4">
        <w:rPr>
          <w:spacing w:val="-2"/>
          <w:sz w:val="22"/>
          <w:szCs w:val="22"/>
        </w:rPr>
        <w:t>3</w:t>
      </w:r>
      <w:r w:rsidR="006B7265" w:rsidRPr="000634A4">
        <w:rPr>
          <w:spacing w:val="-2"/>
          <w:sz w:val="22"/>
          <w:szCs w:val="22"/>
        </w:rPr>
        <w:t>.0</w:t>
      </w:r>
      <w:r w:rsidRPr="000634A4">
        <w:rPr>
          <w:spacing w:val="-2"/>
          <w:sz w:val="22"/>
          <w:szCs w:val="22"/>
        </w:rPr>
        <w:t xml:space="preserve"> million for the year ended December 31, 2021. The $</w:t>
      </w:r>
      <w:r w:rsidR="00524239" w:rsidRPr="000634A4">
        <w:rPr>
          <w:spacing w:val="-2"/>
          <w:sz w:val="22"/>
          <w:szCs w:val="22"/>
        </w:rPr>
        <w:t>6.</w:t>
      </w:r>
      <w:r w:rsidR="00442CDD" w:rsidRPr="000634A4">
        <w:rPr>
          <w:spacing w:val="-2"/>
          <w:sz w:val="22"/>
          <w:szCs w:val="22"/>
        </w:rPr>
        <w:t xml:space="preserve">3 </w:t>
      </w:r>
      <w:r w:rsidRPr="000634A4">
        <w:rPr>
          <w:spacing w:val="-2"/>
          <w:sz w:val="22"/>
          <w:szCs w:val="22"/>
        </w:rPr>
        <w:t xml:space="preserve">million change in Adjusted EBITDA was </w:t>
      </w:r>
      <w:r w:rsidR="008C3EA8" w:rsidRPr="005E4CBB">
        <w:rPr>
          <w:iCs/>
          <w:spacing w:val="-2"/>
        </w:rPr>
        <w:t xml:space="preserve">due to higher </w:t>
      </w:r>
      <w:r w:rsidR="008C3EA8">
        <w:rPr>
          <w:iCs/>
          <w:spacing w:val="-2"/>
        </w:rPr>
        <w:t>operating cost</w:t>
      </w:r>
      <w:r w:rsidR="00C2323C">
        <w:rPr>
          <w:iCs/>
          <w:spacing w:val="-2"/>
        </w:rPr>
        <w:t>s</w:t>
      </w:r>
      <w:r w:rsidR="008C3EA8">
        <w:rPr>
          <w:iCs/>
          <w:spacing w:val="-2"/>
        </w:rPr>
        <w:t xml:space="preserve"> </w:t>
      </w:r>
      <w:r w:rsidR="008C3EA8" w:rsidRPr="005E4CBB">
        <w:rPr>
          <w:iCs/>
          <w:spacing w:val="-2"/>
        </w:rPr>
        <w:t xml:space="preserve">offset in part by </w:t>
      </w:r>
      <w:r w:rsidR="008C3EA8">
        <w:rPr>
          <w:iCs/>
          <w:spacing w:val="-2"/>
        </w:rPr>
        <w:t>higher revenues in all segments.</w:t>
      </w:r>
    </w:p>
    <w:p w14:paraId="70F50B9D" w14:textId="77777777" w:rsidR="001104CD" w:rsidRPr="000634A4" w:rsidRDefault="001104CD" w:rsidP="001104CD">
      <w:pPr>
        <w:tabs>
          <w:tab w:val="left" w:pos="-720"/>
        </w:tabs>
        <w:suppressAutoHyphens/>
        <w:spacing w:line="240" w:lineRule="atLeast"/>
        <w:jc w:val="both"/>
        <w:rPr>
          <w:spacing w:val="-2"/>
          <w:sz w:val="22"/>
          <w:szCs w:val="22"/>
        </w:rPr>
      </w:pPr>
    </w:p>
    <w:p w14:paraId="03CB820C" w14:textId="28E55AA1" w:rsidR="001104CD" w:rsidRPr="000634A4" w:rsidRDefault="001104CD" w:rsidP="001104CD">
      <w:pPr>
        <w:ind w:firstLine="720"/>
        <w:jc w:val="both"/>
        <w:rPr>
          <w:spacing w:val="-2"/>
          <w:sz w:val="22"/>
          <w:szCs w:val="22"/>
        </w:rPr>
      </w:pPr>
      <w:r w:rsidRPr="000634A4">
        <w:rPr>
          <w:spacing w:val="-2"/>
          <w:sz w:val="22"/>
          <w:szCs w:val="22"/>
        </w:rPr>
        <w:lastRenderedPageBreak/>
        <w:t>Adjusted EBITDA for the DDS segment was $</w:t>
      </w:r>
      <w:r w:rsidR="00B6054A" w:rsidRPr="000634A4">
        <w:rPr>
          <w:spacing w:val="-2"/>
          <w:sz w:val="22"/>
          <w:szCs w:val="22"/>
        </w:rPr>
        <w:t>4.</w:t>
      </w:r>
      <w:r w:rsidR="00442CDD" w:rsidRPr="000634A4">
        <w:rPr>
          <w:spacing w:val="-2"/>
          <w:sz w:val="22"/>
          <w:szCs w:val="22"/>
        </w:rPr>
        <w:t xml:space="preserve">1 </w:t>
      </w:r>
      <w:r w:rsidRPr="000634A4">
        <w:rPr>
          <w:spacing w:val="-2"/>
          <w:sz w:val="22"/>
          <w:szCs w:val="22"/>
        </w:rPr>
        <w:t>million</w:t>
      </w:r>
      <w:r w:rsidRPr="000634A4" w:rsidDel="002A65D6">
        <w:rPr>
          <w:spacing w:val="-2"/>
          <w:sz w:val="22"/>
          <w:szCs w:val="22"/>
        </w:rPr>
        <w:t xml:space="preserve"> </w:t>
      </w:r>
      <w:r w:rsidRPr="000634A4">
        <w:rPr>
          <w:spacing w:val="-2"/>
          <w:sz w:val="22"/>
          <w:szCs w:val="22"/>
        </w:rPr>
        <w:t>and $</w:t>
      </w:r>
      <w:r w:rsidR="00B6054A" w:rsidRPr="000634A4">
        <w:rPr>
          <w:spacing w:val="-2"/>
          <w:sz w:val="22"/>
          <w:szCs w:val="22"/>
        </w:rPr>
        <w:t xml:space="preserve">7.1 </w:t>
      </w:r>
      <w:r w:rsidRPr="000634A4">
        <w:rPr>
          <w:spacing w:val="-2"/>
          <w:sz w:val="22"/>
          <w:szCs w:val="22"/>
        </w:rPr>
        <w:t>million for the year</w:t>
      </w:r>
      <w:r w:rsidR="00176FBE" w:rsidRPr="000634A4">
        <w:rPr>
          <w:spacing w:val="-2"/>
          <w:sz w:val="22"/>
          <w:szCs w:val="22"/>
        </w:rPr>
        <w:t>s</w:t>
      </w:r>
      <w:r w:rsidRPr="000634A4">
        <w:rPr>
          <w:spacing w:val="-2"/>
          <w:sz w:val="22"/>
          <w:szCs w:val="22"/>
        </w:rPr>
        <w:t xml:space="preserve"> ended December 31, 2022 and 2021, respectively. The $</w:t>
      </w:r>
      <w:r w:rsidR="00B463E5" w:rsidRPr="000634A4">
        <w:rPr>
          <w:spacing w:val="-2"/>
          <w:sz w:val="22"/>
          <w:szCs w:val="22"/>
        </w:rPr>
        <w:t>3.0</w:t>
      </w:r>
      <w:r w:rsidR="001E068C" w:rsidRPr="000634A4">
        <w:rPr>
          <w:spacing w:val="-2"/>
          <w:sz w:val="22"/>
          <w:szCs w:val="22"/>
        </w:rPr>
        <w:t xml:space="preserve"> </w:t>
      </w:r>
      <w:r w:rsidRPr="000634A4">
        <w:rPr>
          <w:spacing w:val="-2"/>
          <w:sz w:val="22"/>
          <w:szCs w:val="22"/>
        </w:rPr>
        <w:t xml:space="preserve">million change in Adjusted EBITDA was </w:t>
      </w:r>
      <w:r w:rsidR="00D55A87" w:rsidRPr="005E4CBB">
        <w:rPr>
          <w:iCs/>
          <w:spacing w:val="-2"/>
        </w:rPr>
        <w:t xml:space="preserve">due to higher </w:t>
      </w:r>
      <w:r w:rsidR="00D55A87">
        <w:rPr>
          <w:iCs/>
          <w:spacing w:val="-2"/>
        </w:rPr>
        <w:t>operating cost</w:t>
      </w:r>
      <w:r w:rsidR="00C2323C">
        <w:rPr>
          <w:iCs/>
          <w:spacing w:val="-2"/>
        </w:rPr>
        <w:t>s</w:t>
      </w:r>
      <w:r w:rsidR="00D55A87">
        <w:rPr>
          <w:iCs/>
          <w:spacing w:val="-2"/>
        </w:rPr>
        <w:t xml:space="preserve"> </w:t>
      </w:r>
      <w:r w:rsidR="00D55A87" w:rsidRPr="005E4CBB">
        <w:rPr>
          <w:iCs/>
          <w:spacing w:val="-2"/>
        </w:rPr>
        <w:t xml:space="preserve">offset in part by </w:t>
      </w:r>
      <w:r w:rsidR="00D55A87">
        <w:rPr>
          <w:iCs/>
          <w:spacing w:val="-2"/>
        </w:rPr>
        <w:t xml:space="preserve">higher revenues in </w:t>
      </w:r>
      <w:r w:rsidR="001C3E91">
        <w:rPr>
          <w:iCs/>
          <w:spacing w:val="-2"/>
        </w:rPr>
        <w:t xml:space="preserve">the </w:t>
      </w:r>
      <w:r w:rsidR="00D55A87">
        <w:rPr>
          <w:iCs/>
          <w:spacing w:val="-2"/>
        </w:rPr>
        <w:t>current fiscal year.</w:t>
      </w:r>
    </w:p>
    <w:p w14:paraId="3148AB27" w14:textId="77777777" w:rsidR="001104CD" w:rsidRPr="000634A4" w:rsidRDefault="001104CD" w:rsidP="001104CD">
      <w:pPr>
        <w:tabs>
          <w:tab w:val="left" w:pos="-720"/>
        </w:tabs>
        <w:suppressAutoHyphens/>
        <w:spacing w:line="240" w:lineRule="atLeast"/>
        <w:jc w:val="both"/>
        <w:rPr>
          <w:spacing w:val="-2"/>
          <w:sz w:val="22"/>
          <w:szCs w:val="22"/>
        </w:rPr>
      </w:pPr>
    </w:p>
    <w:p w14:paraId="4BDAB1C3" w14:textId="01D2AE21" w:rsidR="001104CD" w:rsidRPr="000634A4" w:rsidRDefault="001104CD" w:rsidP="001104CD">
      <w:pPr>
        <w:tabs>
          <w:tab w:val="left" w:pos="-720"/>
        </w:tabs>
        <w:suppressAutoHyphens/>
        <w:spacing w:line="240" w:lineRule="atLeast"/>
        <w:jc w:val="both"/>
        <w:rPr>
          <w:spacing w:val="-2"/>
          <w:sz w:val="22"/>
          <w:szCs w:val="22"/>
        </w:rPr>
      </w:pPr>
      <w:r w:rsidRPr="000634A4">
        <w:rPr>
          <w:spacing w:val="-2"/>
          <w:sz w:val="22"/>
          <w:szCs w:val="22"/>
        </w:rPr>
        <w:t xml:space="preserve">  </w:t>
      </w:r>
      <w:r w:rsidRPr="000634A4">
        <w:rPr>
          <w:spacing w:val="-2"/>
          <w:sz w:val="22"/>
          <w:szCs w:val="22"/>
        </w:rPr>
        <w:tab/>
        <w:t xml:space="preserve">Adjusted EBITDA for the Synodex segment was a loss </w:t>
      </w:r>
      <w:r w:rsidR="00176FBE" w:rsidRPr="000634A4">
        <w:rPr>
          <w:spacing w:val="-2"/>
          <w:sz w:val="22"/>
          <w:szCs w:val="22"/>
        </w:rPr>
        <w:t xml:space="preserve">of </w:t>
      </w:r>
      <w:r w:rsidRPr="000634A4">
        <w:rPr>
          <w:spacing w:val="-2"/>
          <w:sz w:val="22"/>
          <w:szCs w:val="22"/>
        </w:rPr>
        <w:t>$</w:t>
      </w:r>
      <w:r w:rsidR="00B301A0" w:rsidRPr="000634A4">
        <w:rPr>
          <w:spacing w:val="-2"/>
          <w:sz w:val="22"/>
          <w:szCs w:val="22"/>
        </w:rPr>
        <w:t xml:space="preserve">1.7 </w:t>
      </w:r>
      <w:r w:rsidRPr="000634A4">
        <w:rPr>
          <w:spacing w:val="-2"/>
          <w:sz w:val="22"/>
          <w:szCs w:val="22"/>
        </w:rPr>
        <w:t>million and $</w:t>
      </w:r>
      <w:r w:rsidR="00B301A0" w:rsidRPr="000634A4">
        <w:rPr>
          <w:spacing w:val="-2"/>
          <w:sz w:val="22"/>
          <w:szCs w:val="22"/>
        </w:rPr>
        <w:t xml:space="preserve">1.4 </w:t>
      </w:r>
      <w:r w:rsidRPr="000634A4">
        <w:rPr>
          <w:spacing w:val="-2"/>
          <w:sz w:val="22"/>
          <w:szCs w:val="22"/>
        </w:rPr>
        <w:t xml:space="preserve">million for the </w:t>
      </w:r>
      <w:r w:rsidR="007F182F" w:rsidRPr="000634A4">
        <w:rPr>
          <w:spacing w:val="-2"/>
          <w:sz w:val="22"/>
          <w:szCs w:val="22"/>
        </w:rPr>
        <w:t>year</w:t>
      </w:r>
      <w:r w:rsidR="00176FBE" w:rsidRPr="000634A4">
        <w:rPr>
          <w:spacing w:val="-2"/>
          <w:sz w:val="22"/>
          <w:szCs w:val="22"/>
        </w:rPr>
        <w:t>s</w:t>
      </w:r>
      <w:r w:rsidR="007F182F" w:rsidRPr="000634A4">
        <w:rPr>
          <w:spacing w:val="-2"/>
          <w:sz w:val="22"/>
          <w:szCs w:val="22"/>
        </w:rPr>
        <w:t xml:space="preserve"> </w:t>
      </w:r>
      <w:r w:rsidRPr="000634A4">
        <w:rPr>
          <w:spacing w:val="-2"/>
          <w:sz w:val="22"/>
          <w:szCs w:val="22"/>
        </w:rPr>
        <w:t xml:space="preserve">ended </w:t>
      </w:r>
      <w:r w:rsidR="007F182F" w:rsidRPr="000634A4">
        <w:rPr>
          <w:spacing w:val="-2"/>
          <w:sz w:val="22"/>
          <w:szCs w:val="22"/>
        </w:rPr>
        <w:t>December</w:t>
      </w:r>
      <w:r w:rsidRPr="000634A4">
        <w:rPr>
          <w:spacing w:val="-2"/>
          <w:sz w:val="22"/>
          <w:szCs w:val="22"/>
        </w:rPr>
        <w:t xml:space="preserve"> 3</w:t>
      </w:r>
      <w:r w:rsidR="007F182F" w:rsidRPr="000634A4">
        <w:rPr>
          <w:spacing w:val="-2"/>
          <w:sz w:val="22"/>
          <w:szCs w:val="22"/>
        </w:rPr>
        <w:t>1</w:t>
      </w:r>
      <w:r w:rsidRPr="000634A4">
        <w:rPr>
          <w:spacing w:val="-2"/>
          <w:sz w:val="22"/>
          <w:szCs w:val="22"/>
        </w:rPr>
        <w:t>, 2022 and 2021, respectively. The $</w:t>
      </w:r>
      <w:r w:rsidR="00B301A0" w:rsidRPr="000634A4">
        <w:rPr>
          <w:spacing w:val="-2"/>
          <w:sz w:val="22"/>
          <w:szCs w:val="22"/>
        </w:rPr>
        <w:t xml:space="preserve">0.3 </w:t>
      </w:r>
      <w:r w:rsidRPr="000634A4">
        <w:rPr>
          <w:spacing w:val="-2"/>
          <w:sz w:val="22"/>
          <w:szCs w:val="22"/>
        </w:rPr>
        <w:t xml:space="preserve">million change in Adjusted EBITDA was </w:t>
      </w:r>
      <w:r w:rsidR="00E60A7F" w:rsidRPr="005E4CBB">
        <w:rPr>
          <w:iCs/>
          <w:spacing w:val="-2"/>
        </w:rPr>
        <w:t xml:space="preserve">due to higher </w:t>
      </w:r>
      <w:r w:rsidR="00E60A7F">
        <w:rPr>
          <w:iCs/>
          <w:spacing w:val="-2"/>
        </w:rPr>
        <w:t>operating cost</w:t>
      </w:r>
      <w:r w:rsidR="00C2323C">
        <w:rPr>
          <w:iCs/>
          <w:spacing w:val="-2"/>
        </w:rPr>
        <w:t>s</w:t>
      </w:r>
      <w:r w:rsidR="00E60A7F">
        <w:rPr>
          <w:iCs/>
          <w:spacing w:val="-2"/>
        </w:rPr>
        <w:t xml:space="preserve"> </w:t>
      </w:r>
      <w:r w:rsidR="00E60A7F" w:rsidRPr="005E4CBB">
        <w:rPr>
          <w:iCs/>
          <w:spacing w:val="-2"/>
        </w:rPr>
        <w:t xml:space="preserve">offset in part by </w:t>
      </w:r>
      <w:r w:rsidR="00E60A7F">
        <w:rPr>
          <w:iCs/>
          <w:spacing w:val="-2"/>
        </w:rPr>
        <w:t xml:space="preserve">higher revenues in </w:t>
      </w:r>
      <w:r w:rsidR="001C3E91">
        <w:rPr>
          <w:iCs/>
          <w:spacing w:val="-2"/>
        </w:rPr>
        <w:t xml:space="preserve">the </w:t>
      </w:r>
      <w:r w:rsidR="00E60A7F">
        <w:rPr>
          <w:iCs/>
          <w:spacing w:val="-2"/>
        </w:rPr>
        <w:t>current fiscal year.</w:t>
      </w:r>
      <w:r w:rsidRPr="000634A4">
        <w:rPr>
          <w:spacing w:val="-2"/>
          <w:sz w:val="22"/>
          <w:szCs w:val="22"/>
        </w:rPr>
        <w:t xml:space="preserve"> </w:t>
      </w:r>
    </w:p>
    <w:p w14:paraId="1FE26154" w14:textId="77777777" w:rsidR="001104CD" w:rsidRPr="000634A4" w:rsidRDefault="001104CD" w:rsidP="001104CD">
      <w:pPr>
        <w:tabs>
          <w:tab w:val="left" w:pos="-720"/>
        </w:tabs>
        <w:suppressAutoHyphens/>
        <w:spacing w:line="240" w:lineRule="atLeast"/>
        <w:jc w:val="both"/>
        <w:rPr>
          <w:spacing w:val="-2"/>
          <w:sz w:val="22"/>
          <w:szCs w:val="22"/>
        </w:rPr>
      </w:pPr>
    </w:p>
    <w:p w14:paraId="4ABCA50A" w14:textId="0A6EE116" w:rsidR="001104CD" w:rsidRPr="000634A4" w:rsidRDefault="001104CD" w:rsidP="001104CD">
      <w:pPr>
        <w:tabs>
          <w:tab w:val="left" w:pos="-720"/>
        </w:tabs>
        <w:suppressAutoHyphens/>
        <w:spacing w:line="240" w:lineRule="atLeast"/>
        <w:jc w:val="both"/>
        <w:rPr>
          <w:spacing w:val="-2"/>
          <w:sz w:val="22"/>
          <w:szCs w:val="22"/>
        </w:rPr>
      </w:pPr>
      <w:r w:rsidRPr="000634A4">
        <w:rPr>
          <w:spacing w:val="-2"/>
          <w:sz w:val="22"/>
          <w:szCs w:val="22"/>
        </w:rPr>
        <w:tab/>
        <w:t>Adjusted EBITDA for the Agility segment was a loss of $</w:t>
      </w:r>
      <w:r w:rsidR="00E650A6" w:rsidRPr="000634A4">
        <w:rPr>
          <w:spacing w:val="-2"/>
          <w:sz w:val="22"/>
          <w:szCs w:val="22"/>
        </w:rPr>
        <w:t>5.7</w:t>
      </w:r>
      <w:r w:rsidR="00E650A6" w:rsidRPr="000634A4" w:rsidDel="00F13080">
        <w:rPr>
          <w:spacing w:val="-2"/>
          <w:sz w:val="22"/>
          <w:szCs w:val="22"/>
        </w:rPr>
        <w:t xml:space="preserve"> </w:t>
      </w:r>
      <w:r w:rsidRPr="000634A4">
        <w:rPr>
          <w:spacing w:val="-2"/>
          <w:sz w:val="22"/>
          <w:szCs w:val="22"/>
        </w:rPr>
        <w:t>million and $</w:t>
      </w:r>
      <w:r w:rsidR="00E650A6" w:rsidRPr="000634A4">
        <w:rPr>
          <w:spacing w:val="-2"/>
          <w:sz w:val="22"/>
          <w:szCs w:val="22"/>
        </w:rPr>
        <w:t xml:space="preserve">2.7 </w:t>
      </w:r>
      <w:r w:rsidRPr="000634A4">
        <w:rPr>
          <w:spacing w:val="-2"/>
          <w:sz w:val="22"/>
          <w:szCs w:val="22"/>
        </w:rPr>
        <w:t xml:space="preserve">million for the </w:t>
      </w:r>
      <w:r w:rsidR="007F182F" w:rsidRPr="000634A4">
        <w:rPr>
          <w:spacing w:val="-2"/>
          <w:sz w:val="22"/>
          <w:szCs w:val="22"/>
        </w:rPr>
        <w:t>year</w:t>
      </w:r>
      <w:r w:rsidR="00176FBE" w:rsidRPr="000634A4">
        <w:rPr>
          <w:spacing w:val="-2"/>
          <w:sz w:val="22"/>
          <w:szCs w:val="22"/>
        </w:rPr>
        <w:t>s</w:t>
      </w:r>
      <w:r w:rsidR="007F182F" w:rsidRPr="000634A4">
        <w:rPr>
          <w:spacing w:val="-2"/>
          <w:sz w:val="22"/>
          <w:szCs w:val="22"/>
        </w:rPr>
        <w:t xml:space="preserve"> </w:t>
      </w:r>
      <w:r w:rsidRPr="000634A4">
        <w:rPr>
          <w:spacing w:val="-2"/>
          <w:sz w:val="22"/>
          <w:szCs w:val="22"/>
        </w:rPr>
        <w:t xml:space="preserve">ended </w:t>
      </w:r>
      <w:r w:rsidR="007F182F" w:rsidRPr="000634A4">
        <w:rPr>
          <w:spacing w:val="-2"/>
          <w:sz w:val="22"/>
          <w:szCs w:val="22"/>
        </w:rPr>
        <w:t>December</w:t>
      </w:r>
      <w:r w:rsidRPr="000634A4">
        <w:rPr>
          <w:spacing w:val="-2"/>
          <w:sz w:val="22"/>
          <w:szCs w:val="22"/>
        </w:rPr>
        <w:t xml:space="preserve"> 3</w:t>
      </w:r>
      <w:r w:rsidR="007F182F" w:rsidRPr="000634A4">
        <w:rPr>
          <w:spacing w:val="-2"/>
          <w:sz w:val="22"/>
          <w:szCs w:val="22"/>
        </w:rPr>
        <w:t>1</w:t>
      </w:r>
      <w:r w:rsidRPr="000634A4">
        <w:rPr>
          <w:spacing w:val="-2"/>
          <w:sz w:val="22"/>
          <w:szCs w:val="22"/>
        </w:rPr>
        <w:t>, 2022 and 2021, respectively. The $</w:t>
      </w:r>
      <w:r w:rsidR="00E650A6" w:rsidRPr="000634A4">
        <w:rPr>
          <w:spacing w:val="-2"/>
          <w:sz w:val="22"/>
          <w:szCs w:val="22"/>
        </w:rPr>
        <w:t>3.0</w:t>
      </w:r>
      <w:r w:rsidR="00E650A6" w:rsidRPr="000634A4" w:rsidDel="006375EB">
        <w:rPr>
          <w:spacing w:val="-2"/>
          <w:sz w:val="22"/>
          <w:szCs w:val="22"/>
        </w:rPr>
        <w:t xml:space="preserve"> </w:t>
      </w:r>
      <w:r w:rsidRPr="000634A4">
        <w:rPr>
          <w:spacing w:val="-2"/>
          <w:sz w:val="22"/>
          <w:szCs w:val="22"/>
        </w:rPr>
        <w:t xml:space="preserve">million change in Adjusted EBITDA was </w:t>
      </w:r>
      <w:r w:rsidR="00BD0193" w:rsidRPr="005E4CBB">
        <w:rPr>
          <w:iCs/>
          <w:spacing w:val="-2"/>
        </w:rPr>
        <w:t xml:space="preserve">due to higher </w:t>
      </w:r>
      <w:r w:rsidR="00BD0193">
        <w:rPr>
          <w:iCs/>
          <w:spacing w:val="-2"/>
        </w:rPr>
        <w:t>operating cost</w:t>
      </w:r>
      <w:r w:rsidR="00C2323C">
        <w:rPr>
          <w:iCs/>
          <w:spacing w:val="-2"/>
        </w:rPr>
        <w:t>s</w:t>
      </w:r>
      <w:r w:rsidR="00BD0193">
        <w:rPr>
          <w:iCs/>
          <w:spacing w:val="-2"/>
        </w:rPr>
        <w:t xml:space="preserve"> </w:t>
      </w:r>
      <w:r w:rsidR="00BD0193" w:rsidRPr="005E4CBB">
        <w:rPr>
          <w:iCs/>
          <w:spacing w:val="-2"/>
        </w:rPr>
        <w:t xml:space="preserve">offset in part by </w:t>
      </w:r>
      <w:r w:rsidR="00BD0193">
        <w:rPr>
          <w:iCs/>
          <w:spacing w:val="-2"/>
        </w:rPr>
        <w:t xml:space="preserve">higher revenues in </w:t>
      </w:r>
      <w:r w:rsidR="001C3E91">
        <w:rPr>
          <w:iCs/>
          <w:spacing w:val="-2"/>
        </w:rPr>
        <w:t xml:space="preserve">the </w:t>
      </w:r>
      <w:r w:rsidR="00BD0193">
        <w:rPr>
          <w:iCs/>
          <w:spacing w:val="-2"/>
        </w:rPr>
        <w:t>current fiscal year.</w:t>
      </w:r>
    </w:p>
    <w:p w14:paraId="42143C16" w14:textId="77777777" w:rsidR="001104CD" w:rsidRPr="000634A4" w:rsidRDefault="001104CD" w:rsidP="001104CD">
      <w:pPr>
        <w:tabs>
          <w:tab w:val="left" w:pos="-720"/>
        </w:tabs>
        <w:suppressAutoHyphens/>
        <w:spacing w:line="240" w:lineRule="atLeast"/>
        <w:jc w:val="both"/>
        <w:rPr>
          <w:spacing w:val="-2"/>
          <w:sz w:val="22"/>
          <w:szCs w:val="22"/>
        </w:rPr>
      </w:pPr>
    </w:p>
    <w:p w14:paraId="1D51EE76" w14:textId="77777777" w:rsidR="001104CD" w:rsidRPr="000634A4" w:rsidRDefault="001104CD" w:rsidP="001104CD">
      <w:pPr>
        <w:tabs>
          <w:tab w:val="left" w:pos="-720"/>
        </w:tabs>
        <w:suppressAutoHyphens/>
        <w:spacing w:line="240" w:lineRule="atLeast"/>
        <w:jc w:val="both"/>
        <w:rPr>
          <w:spacing w:val="-2"/>
          <w:sz w:val="22"/>
          <w:szCs w:val="22"/>
        </w:rPr>
      </w:pPr>
      <w:r w:rsidRPr="000634A4">
        <w:rPr>
          <w:spacing w:val="-2"/>
          <w:sz w:val="22"/>
          <w:szCs w:val="22"/>
        </w:rPr>
        <w:tab/>
        <w:t>Adjusted EBITDA is a non-GAAP financial measure. For a reconciliation of Adjusted EBITDA to the most directly comparable GAAP measure, please see the description of “</w:t>
      </w:r>
      <w:r w:rsidRPr="000634A4">
        <w:rPr>
          <w:bCs/>
          <w:sz w:val="22"/>
          <w:szCs w:val="22"/>
        </w:rPr>
        <w:t>Non-GAAP Financial Measures – Adjusted EBITDA” above.</w:t>
      </w:r>
    </w:p>
    <w:p w14:paraId="15DC9D33" w14:textId="0090A220" w:rsidR="00B10929" w:rsidRPr="000634A4" w:rsidRDefault="00B10929" w:rsidP="00A81DCD">
      <w:pPr>
        <w:rPr>
          <w:b/>
          <w:bCs/>
          <w:spacing w:val="-2"/>
          <w:sz w:val="22"/>
          <w:szCs w:val="22"/>
        </w:rPr>
      </w:pPr>
    </w:p>
    <w:p w14:paraId="43AAC997" w14:textId="0E019A46" w:rsidR="00A81DCD" w:rsidRPr="000634A4" w:rsidRDefault="00A81DCD" w:rsidP="00A81DCD">
      <w:pPr>
        <w:rPr>
          <w:b/>
          <w:bCs/>
          <w:spacing w:val="-2"/>
          <w:sz w:val="22"/>
          <w:szCs w:val="22"/>
        </w:rPr>
      </w:pPr>
      <w:r w:rsidRPr="000634A4">
        <w:rPr>
          <w:b/>
          <w:bCs/>
          <w:spacing w:val="-2"/>
          <w:sz w:val="22"/>
          <w:szCs w:val="22"/>
        </w:rPr>
        <w:t>Liquidity and Capital Resources</w:t>
      </w:r>
    </w:p>
    <w:p w14:paraId="0A04864B" w14:textId="77777777" w:rsidR="00A81DCD" w:rsidRPr="000634A4" w:rsidRDefault="00A81DCD" w:rsidP="00A81DCD">
      <w:pPr>
        <w:tabs>
          <w:tab w:val="left" w:pos="-720"/>
        </w:tabs>
        <w:suppressAutoHyphens/>
        <w:spacing w:line="240" w:lineRule="atLeast"/>
        <w:jc w:val="both"/>
        <w:rPr>
          <w:b/>
          <w:bCs/>
          <w:spacing w:val="-2"/>
          <w:sz w:val="22"/>
          <w:szCs w:val="22"/>
        </w:rPr>
      </w:pPr>
    </w:p>
    <w:p w14:paraId="6AA095F4" w14:textId="77777777" w:rsidR="00A81DCD" w:rsidRPr="000634A4" w:rsidRDefault="00A81DCD" w:rsidP="00A81DCD">
      <w:pPr>
        <w:tabs>
          <w:tab w:val="left" w:pos="-720"/>
        </w:tabs>
        <w:suppressAutoHyphens/>
        <w:spacing w:line="240" w:lineRule="atLeast"/>
        <w:ind w:firstLine="720"/>
        <w:jc w:val="both"/>
        <w:rPr>
          <w:spacing w:val="-2"/>
          <w:sz w:val="22"/>
          <w:szCs w:val="22"/>
        </w:rPr>
      </w:pPr>
      <w:r w:rsidRPr="000634A4">
        <w:rPr>
          <w:spacing w:val="-2"/>
          <w:sz w:val="22"/>
          <w:szCs w:val="22"/>
        </w:rPr>
        <w:t xml:space="preserve">Selected measures of liquidity and capital resources, expressed in thousands, are as follows: </w:t>
      </w:r>
    </w:p>
    <w:p w14:paraId="2DA5A003" w14:textId="77777777" w:rsidR="00A81DCD" w:rsidRPr="000634A4" w:rsidRDefault="00A81DCD" w:rsidP="00A81DCD">
      <w:pPr>
        <w:tabs>
          <w:tab w:val="left" w:pos="-720"/>
        </w:tabs>
        <w:suppressAutoHyphens/>
        <w:spacing w:line="240" w:lineRule="atLeast"/>
        <w:jc w:val="both"/>
        <w:rPr>
          <w:spacing w:val="-2"/>
          <w:sz w:val="22"/>
          <w:szCs w:val="22"/>
        </w:rPr>
      </w:pPr>
    </w:p>
    <w:p w14:paraId="63EB357D" w14:textId="3EA0185B" w:rsidR="00A81DCD" w:rsidRPr="000634A4" w:rsidRDefault="00670729" w:rsidP="005A109C">
      <w:pPr>
        <w:tabs>
          <w:tab w:val="left" w:pos="-720"/>
        </w:tabs>
        <w:suppressAutoHyphens/>
        <w:spacing w:line="240" w:lineRule="atLeast"/>
        <w:jc w:val="center"/>
        <w:rPr>
          <w:sz w:val="22"/>
          <w:szCs w:val="22"/>
        </w:rPr>
      </w:pPr>
      <w:r w:rsidRPr="000634A4">
        <w:rPr>
          <w:sz w:val="22"/>
          <w:szCs w:val="22"/>
        </w:rPr>
        <w:t xml:space="preserve"> </w:t>
      </w:r>
      <w:r w:rsidR="000A0521" w:rsidRPr="000634A4">
        <w:rPr>
          <w:sz w:val="22"/>
          <w:szCs w:val="22"/>
        </w:rPr>
        <w:t xml:space="preserve"> </w:t>
      </w:r>
      <w:r w:rsidR="001853F1" w:rsidRPr="000634A4">
        <w:rPr>
          <w:sz w:val="22"/>
          <w:szCs w:val="22"/>
        </w:rPr>
        <w:t xml:space="preserve"> </w:t>
      </w:r>
      <w:r w:rsidR="00C64C2C" w:rsidRPr="000634A4">
        <w:rPr>
          <w:sz w:val="22"/>
          <w:szCs w:val="22"/>
        </w:rPr>
        <w:t xml:space="preserve"> </w:t>
      </w:r>
      <w:r w:rsidR="00FB5981" w:rsidRPr="000634A4">
        <w:rPr>
          <w:sz w:val="22"/>
          <w:szCs w:val="22"/>
        </w:rPr>
        <w:t xml:space="preserve"> </w:t>
      </w:r>
      <w:r w:rsidR="002E6839" w:rsidRPr="000634A4">
        <w:rPr>
          <w:sz w:val="22"/>
          <w:szCs w:val="22"/>
        </w:rPr>
        <w:t xml:space="preserve"> </w:t>
      </w:r>
      <w:r w:rsidR="00B83AA4" w:rsidRPr="000634A4">
        <w:rPr>
          <w:sz w:val="22"/>
          <w:szCs w:val="22"/>
        </w:rPr>
        <w:t xml:space="preserve"> </w:t>
      </w:r>
      <w:r w:rsidR="00137B20" w:rsidRPr="000634A4">
        <w:rPr>
          <w:sz w:val="22"/>
          <w:szCs w:val="22"/>
        </w:rPr>
        <w:t xml:space="preserve"> </w:t>
      </w:r>
      <w:r w:rsidR="004D4A4A" w:rsidRPr="000634A4">
        <w:rPr>
          <w:noProof/>
        </w:rPr>
        <w:drawing>
          <wp:inline distT="0" distB="0" distL="0" distR="0" wp14:anchorId="33CDEAFE" wp14:editId="7DD19376">
            <wp:extent cx="3949700" cy="12509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49700" cy="1250950"/>
                    </a:xfrm>
                    <a:prstGeom prst="rect">
                      <a:avLst/>
                    </a:prstGeom>
                    <a:noFill/>
                    <a:ln>
                      <a:noFill/>
                    </a:ln>
                  </pic:spPr>
                </pic:pic>
              </a:graphicData>
            </a:graphic>
          </wp:inline>
        </w:drawing>
      </w:r>
    </w:p>
    <w:p w14:paraId="15E55556" w14:textId="77777777" w:rsidR="002615A8" w:rsidRPr="000634A4" w:rsidRDefault="002615A8" w:rsidP="005A109C">
      <w:pPr>
        <w:tabs>
          <w:tab w:val="left" w:pos="-720"/>
        </w:tabs>
        <w:suppressAutoHyphens/>
        <w:spacing w:line="240" w:lineRule="atLeast"/>
        <w:jc w:val="center"/>
        <w:rPr>
          <w:spacing w:val="-2"/>
          <w:sz w:val="22"/>
          <w:szCs w:val="22"/>
        </w:rPr>
      </w:pPr>
    </w:p>
    <w:p w14:paraId="516FE48F" w14:textId="372859E6" w:rsidR="00A81DCD" w:rsidRPr="000634A4" w:rsidRDefault="002F0831" w:rsidP="00A81DCD">
      <w:pPr>
        <w:tabs>
          <w:tab w:val="left" w:pos="-720"/>
        </w:tabs>
        <w:suppressAutoHyphens/>
        <w:spacing w:line="240" w:lineRule="atLeast"/>
        <w:ind w:firstLine="720"/>
        <w:jc w:val="both"/>
        <w:rPr>
          <w:iCs/>
          <w:spacing w:val="-2"/>
          <w:sz w:val="22"/>
          <w:szCs w:val="22"/>
        </w:rPr>
      </w:pPr>
      <w:bookmarkStart w:id="34" w:name="_Hlk95223579"/>
      <w:r w:rsidRPr="000634A4">
        <w:rPr>
          <w:iCs/>
          <w:spacing w:val="-2"/>
          <w:sz w:val="22"/>
          <w:szCs w:val="22"/>
        </w:rPr>
        <w:t xml:space="preserve">On </w:t>
      </w:r>
      <w:r w:rsidR="00A81DCD" w:rsidRPr="000634A4">
        <w:rPr>
          <w:iCs/>
          <w:spacing w:val="-2"/>
          <w:sz w:val="22"/>
          <w:szCs w:val="22"/>
        </w:rPr>
        <w:t xml:space="preserve">December 31, </w:t>
      </w:r>
      <w:r w:rsidR="0089779F" w:rsidRPr="000634A4">
        <w:rPr>
          <w:iCs/>
          <w:spacing w:val="-2"/>
          <w:sz w:val="22"/>
          <w:szCs w:val="22"/>
        </w:rPr>
        <w:t>2022</w:t>
      </w:r>
      <w:r w:rsidR="00A81DCD" w:rsidRPr="000634A4">
        <w:rPr>
          <w:iCs/>
          <w:spacing w:val="-2"/>
          <w:sz w:val="22"/>
          <w:szCs w:val="22"/>
        </w:rPr>
        <w:t xml:space="preserve">, we had cash and cash equivalents </w:t>
      </w:r>
      <w:r w:rsidR="00991CA2" w:rsidRPr="000634A4">
        <w:rPr>
          <w:iCs/>
          <w:spacing w:val="-2"/>
          <w:sz w:val="22"/>
          <w:szCs w:val="22"/>
        </w:rPr>
        <w:t xml:space="preserve">of </w:t>
      </w:r>
      <w:r w:rsidR="00A262C3" w:rsidRPr="000634A4">
        <w:rPr>
          <w:iCs/>
          <w:spacing w:val="-2"/>
          <w:sz w:val="22"/>
          <w:szCs w:val="22"/>
        </w:rPr>
        <w:t>$</w:t>
      </w:r>
      <w:r w:rsidR="00A262C3" w:rsidRPr="000634A4">
        <w:rPr>
          <w:spacing w:val="-2"/>
          <w:sz w:val="22"/>
          <w:szCs w:val="22"/>
        </w:rPr>
        <w:t>9.8</w:t>
      </w:r>
      <w:r w:rsidR="00A262C3" w:rsidRPr="000634A4">
        <w:rPr>
          <w:iCs/>
          <w:spacing w:val="-2"/>
          <w:sz w:val="22"/>
          <w:szCs w:val="22"/>
        </w:rPr>
        <w:t xml:space="preserve"> million and </w:t>
      </w:r>
      <w:r w:rsidR="009A312C" w:rsidRPr="000634A4">
        <w:rPr>
          <w:iCs/>
          <w:spacing w:val="-2"/>
          <w:sz w:val="22"/>
          <w:szCs w:val="22"/>
        </w:rPr>
        <w:t>short-term</w:t>
      </w:r>
      <w:r w:rsidR="00A262C3" w:rsidRPr="000634A4">
        <w:rPr>
          <w:iCs/>
          <w:spacing w:val="-2"/>
          <w:sz w:val="22"/>
          <w:szCs w:val="22"/>
        </w:rPr>
        <w:t xml:space="preserve"> investments </w:t>
      </w:r>
      <w:r w:rsidR="00A81DCD" w:rsidRPr="000634A4">
        <w:rPr>
          <w:iCs/>
          <w:spacing w:val="-2"/>
          <w:sz w:val="22"/>
          <w:szCs w:val="22"/>
        </w:rPr>
        <w:t>of</w:t>
      </w:r>
      <w:r w:rsidR="00A262C3" w:rsidRPr="000634A4">
        <w:rPr>
          <w:iCs/>
          <w:spacing w:val="-2"/>
          <w:sz w:val="22"/>
          <w:szCs w:val="22"/>
        </w:rPr>
        <w:t xml:space="preserve"> $0.5 million</w:t>
      </w:r>
      <w:r w:rsidR="00A81DCD" w:rsidRPr="000634A4">
        <w:rPr>
          <w:iCs/>
          <w:spacing w:val="-2"/>
          <w:sz w:val="22"/>
          <w:szCs w:val="22"/>
        </w:rPr>
        <w:t xml:space="preserve">, of which </w:t>
      </w:r>
      <w:r w:rsidR="008E62D2" w:rsidRPr="000634A4">
        <w:rPr>
          <w:iCs/>
          <w:spacing w:val="-2"/>
          <w:sz w:val="22"/>
          <w:szCs w:val="22"/>
        </w:rPr>
        <w:t>$</w:t>
      </w:r>
      <w:r w:rsidR="00426618">
        <w:rPr>
          <w:spacing w:val="-2"/>
          <w:sz w:val="22"/>
          <w:szCs w:val="22"/>
        </w:rPr>
        <w:t>3.6</w:t>
      </w:r>
      <w:r w:rsidR="005C6425" w:rsidRPr="000634A4">
        <w:rPr>
          <w:iCs/>
          <w:spacing w:val="-2"/>
          <w:sz w:val="22"/>
          <w:szCs w:val="22"/>
        </w:rPr>
        <w:t xml:space="preserve"> </w:t>
      </w:r>
      <w:r w:rsidR="00A81DCD" w:rsidRPr="000634A4">
        <w:rPr>
          <w:iCs/>
          <w:spacing w:val="-2"/>
          <w:sz w:val="22"/>
          <w:szCs w:val="22"/>
        </w:rPr>
        <w:t xml:space="preserve">million was held by our foreign subsidiaries, and </w:t>
      </w:r>
      <w:r w:rsidR="008E62D2" w:rsidRPr="000634A4">
        <w:rPr>
          <w:iCs/>
          <w:spacing w:val="-2"/>
          <w:sz w:val="22"/>
          <w:szCs w:val="22"/>
        </w:rPr>
        <w:t>$</w:t>
      </w:r>
      <w:r w:rsidR="00426618">
        <w:rPr>
          <w:iCs/>
          <w:spacing w:val="-2"/>
          <w:sz w:val="22"/>
          <w:szCs w:val="22"/>
        </w:rPr>
        <w:t>6</w:t>
      </w:r>
      <w:r w:rsidR="005C6425" w:rsidRPr="000634A4">
        <w:rPr>
          <w:iCs/>
          <w:spacing w:val="-2"/>
          <w:sz w:val="22"/>
          <w:szCs w:val="22"/>
        </w:rPr>
        <w:t>.</w:t>
      </w:r>
      <w:r w:rsidR="00426618">
        <w:rPr>
          <w:iCs/>
          <w:spacing w:val="-2"/>
          <w:sz w:val="22"/>
          <w:szCs w:val="22"/>
        </w:rPr>
        <w:t>2</w:t>
      </w:r>
      <w:r w:rsidR="00426618" w:rsidRPr="000634A4">
        <w:rPr>
          <w:iCs/>
          <w:spacing w:val="-2"/>
          <w:sz w:val="22"/>
          <w:szCs w:val="22"/>
        </w:rPr>
        <w:t xml:space="preserve"> </w:t>
      </w:r>
      <w:r w:rsidR="00A81DCD" w:rsidRPr="000634A4">
        <w:rPr>
          <w:iCs/>
          <w:spacing w:val="-2"/>
          <w:sz w:val="22"/>
          <w:szCs w:val="22"/>
        </w:rPr>
        <w:t>million was held in the U</w:t>
      </w:r>
      <w:r w:rsidR="00B56AE2" w:rsidRPr="000634A4">
        <w:rPr>
          <w:iCs/>
          <w:spacing w:val="-2"/>
          <w:sz w:val="22"/>
          <w:szCs w:val="22"/>
        </w:rPr>
        <w:t xml:space="preserve">nited </w:t>
      </w:r>
      <w:r w:rsidR="00A14CC4" w:rsidRPr="000634A4">
        <w:rPr>
          <w:iCs/>
          <w:spacing w:val="-2"/>
          <w:sz w:val="22"/>
          <w:szCs w:val="22"/>
        </w:rPr>
        <w:t>S</w:t>
      </w:r>
      <w:r w:rsidR="00B56AE2" w:rsidRPr="000634A4">
        <w:rPr>
          <w:iCs/>
          <w:spacing w:val="-2"/>
          <w:sz w:val="22"/>
          <w:szCs w:val="22"/>
        </w:rPr>
        <w:t>tates</w:t>
      </w:r>
      <w:r w:rsidR="00A81DCD" w:rsidRPr="000634A4">
        <w:rPr>
          <w:iCs/>
          <w:spacing w:val="-2"/>
          <w:sz w:val="22"/>
          <w:szCs w:val="22"/>
        </w:rPr>
        <w:t xml:space="preserve">. </w:t>
      </w:r>
      <w:r w:rsidR="001313F8" w:rsidRPr="000634A4">
        <w:rPr>
          <w:iCs/>
          <w:spacing w:val="-2"/>
          <w:sz w:val="22"/>
          <w:szCs w:val="22"/>
        </w:rPr>
        <w:t xml:space="preserve">The </w:t>
      </w:r>
      <w:r w:rsidR="004F4DBC" w:rsidRPr="000634A4">
        <w:rPr>
          <w:iCs/>
          <w:spacing w:val="-2"/>
          <w:sz w:val="22"/>
          <w:szCs w:val="22"/>
        </w:rPr>
        <w:t>short-term</w:t>
      </w:r>
      <w:r w:rsidR="001313F8" w:rsidRPr="000634A4">
        <w:rPr>
          <w:iCs/>
          <w:spacing w:val="-2"/>
          <w:sz w:val="22"/>
          <w:szCs w:val="22"/>
        </w:rPr>
        <w:t xml:space="preserve"> investments of $0.5 million were held in the United States. </w:t>
      </w:r>
      <w:r w:rsidR="00A81DCD" w:rsidRPr="000634A4">
        <w:rPr>
          <w:iCs/>
          <w:spacing w:val="-2"/>
          <w:sz w:val="22"/>
          <w:szCs w:val="22"/>
        </w:rPr>
        <w:t>Despite the passage of the new tax law under which we may repatriate funds from overseas after paying the toll charge, it is our intent</w:t>
      </w:r>
      <w:r w:rsidR="00D11D75" w:rsidRPr="000634A4">
        <w:rPr>
          <w:iCs/>
          <w:spacing w:val="-2"/>
          <w:sz w:val="22"/>
          <w:szCs w:val="22"/>
        </w:rPr>
        <w:t>,</w:t>
      </w:r>
      <w:r w:rsidR="00A81DCD" w:rsidRPr="000634A4">
        <w:rPr>
          <w:iCs/>
          <w:spacing w:val="-2"/>
          <w:sz w:val="22"/>
          <w:szCs w:val="22"/>
        </w:rPr>
        <w:t xml:space="preserve"> as of December 31, </w:t>
      </w:r>
      <w:r w:rsidR="0089779F" w:rsidRPr="000634A4">
        <w:rPr>
          <w:iCs/>
          <w:spacing w:val="-2"/>
          <w:sz w:val="22"/>
          <w:szCs w:val="22"/>
        </w:rPr>
        <w:t>2022</w:t>
      </w:r>
      <w:r w:rsidR="00A81DCD" w:rsidRPr="000634A4">
        <w:rPr>
          <w:iCs/>
          <w:spacing w:val="-2"/>
          <w:sz w:val="22"/>
          <w:szCs w:val="22"/>
        </w:rPr>
        <w:t xml:space="preserve">, to </w:t>
      </w:r>
      <w:r w:rsidR="009D0C30" w:rsidRPr="000634A4">
        <w:rPr>
          <w:iCs/>
          <w:spacing w:val="-2"/>
          <w:sz w:val="22"/>
          <w:szCs w:val="22"/>
        </w:rPr>
        <w:t>indefinitely</w:t>
      </w:r>
      <w:r w:rsidR="00A81DCD" w:rsidRPr="000634A4">
        <w:rPr>
          <w:iCs/>
          <w:spacing w:val="-2"/>
          <w:sz w:val="22"/>
          <w:szCs w:val="22"/>
        </w:rPr>
        <w:t xml:space="preserve"> reinvest the overseas funds in our foreign subsidiaries </w:t>
      </w:r>
      <w:r w:rsidR="009D0C30" w:rsidRPr="000634A4">
        <w:rPr>
          <w:iCs/>
          <w:spacing w:val="-2"/>
          <w:sz w:val="22"/>
          <w:szCs w:val="22"/>
        </w:rPr>
        <w:t>due to</w:t>
      </w:r>
      <w:r w:rsidR="00A81DCD" w:rsidRPr="000634A4">
        <w:rPr>
          <w:iCs/>
          <w:spacing w:val="-2"/>
          <w:sz w:val="22"/>
          <w:szCs w:val="22"/>
        </w:rPr>
        <w:t xml:space="preserve"> the withholding tax that we would have to incur on the actual remittances. </w:t>
      </w:r>
    </w:p>
    <w:bookmarkEnd w:id="34"/>
    <w:p w14:paraId="4CA02E38" w14:textId="77777777" w:rsidR="00A81DCD" w:rsidRPr="000634A4" w:rsidRDefault="00A81DCD" w:rsidP="00A81DCD">
      <w:pPr>
        <w:rPr>
          <w:iCs/>
          <w:spacing w:val="-2"/>
          <w:sz w:val="22"/>
          <w:szCs w:val="22"/>
        </w:rPr>
      </w:pPr>
    </w:p>
    <w:p w14:paraId="7EC3264A" w14:textId="5ABDCC34" w:rsidR="000B3274" w:rsidRPr="00501AD3" w:rsidRDefault="00A81DCD" w:rsidP="000B3274">
      <w:pPr>
        <w:jc w:val="both"/>
        <w:rPr>
          <w:iCs/>
          <w:spacing w:val="-2"/>
        </w:rPr>
      </w:pPr>
      <w:r w:rsidRPr="000634A4">
        <w:rPr>
          <w:iCs/>
          <w:spacing w:val="-2"/>
          <w:sz w:val="22"/>
          <w:szCs w:val="22"/>
        </w:rPr>
        <w:tab/>
        <w:t xml:space="preserve"> We have used, and plan to use, our cash and cash equivalents for (i) </w:t>
      </w:r>
      <w:r w:rsidR="00B368C5" w:rsidRPr="000634A4">
        <w:rPr>
          <w:iCs/>
          <w:spacing w:val="-2"/>
          <w:sz w:val="22"/>
          <w:szCs w:val="22"/>
        </w:rPr>
        <w:t xml:space="preserve">capital </w:t>
      </w:r>
      <w:r w:rsidRPr="000634A4">
        <w:rPr>
          <w:iCs/>
          <w:spacing w:val="-2"/>
          <w:sz w:val="22"/>
          <w:szCs w:val="22"/>
        </w:rPr>
        <w:t>investments; (ii) the expansion of our other operations; (iii) technology innovation; (iv) product management and strategic marketing; (v) general corporate</w:t>
      </w:r>
      <w:r w:rsidRPr="000634A4">
        <w:rPr>
          <w:spacing w:val="-2"/>
          <w:sz w:val="22"/>
          <w:szCs w:val="22"/>
        </w:rPr>
        <w:t xml:space="preserve"> purposes, including working capital; and (vi) possible business acquisitions. </w:t>
      </w:r>
      <w:r w:rsidRPr="000634A4">
        <w:rPr>
          <w:iCs/>
          <w:spacing w:val="-2"/>
          <w:sz w:val="22"/>
          <w:szCs w:val="22"/>
        </w:rPr>
        <w:t xml:space="preserve">As of </w:t>
      </w:r>
      <w:r w:rsidRPr="000634A4">
        <w:rPr>
          <w:spacing w:val="-2"/>
          <w:sz w:val="22"/>
          <w:szCs w:val="22"/>
        </w:rPr>
        <w:t xml:space="preserve">December 31, </w:t>
      </w:r>
      <w:r w:rsidR="0089779F" w:rsidRPr="000634A4">
        <w:rPr>
          <w:spacing w:val="-2"/>
          <w:sz w:val="22"/>
          <w:szCs w:val="22"/>
        </w:rPr>
        <w:t>2022</w:t>
      </w:r>
      <w:r w:rsidR="008B062D" w:rsidRPr="000634A4">
        <w:rPr>
          <w:spacing w:val="-2"/>
          <w:sz w:val="22"/>
          <w:szCs w:val="22"/>
        </w:rPr>
        <w:t>,</w:t>
      </w:r>
      <w:r w:rsidRPr="000634A4">
        <w:rPr>
          <w:iCs/>
          <w:spacing w:val="-2"/>
          <w:sz w:val="22"/>
          <w:szCs w:val="22"/>
        </w:rPr>
        <w:t xml:space="preserve"> we had working capital of approximately </w:t>
      </w:r>
      <w:r w:rsidR="008E62D2" w:rsidRPr="000634A4">
        <w:rPr>
          <w:iCs/>
          <w:spacing w:val="-2"/>
          <w:sz w:val="22"/>
          <w:szCs w:val="22"/>
        </w:rPr>
        <w:t>$</w:t>
      </w:r>
      <w:r w:rsidR="004D4A4A" w:rsidRPr="000634A4">
        <w:rPr>
          <w:spacing w:val="-2"/>
          <w:sz w:val="22"/>
          <w:szCs w:val="22"/>
        </w:rPr>
        <w:t>2</w:t>
      </w:r>
      <w:r w:rsidR="005B7811" w:rsidRPr="000634A4">
        <w:rPr>
          <w:spacing w:val="-2"/>
          <w:sz w:val="22"/>
          <w:szCs w:val="22"/>
        </w:rPr>
        <w:t>.</w:t>
      </w:r>
      <w:r w:rsidR="004D4A4A" w:rsidRPr="000634A4">
        <w:rPr>
          <w:spacing w:val="-2"/>
          <w:sz w:val="22"/>
          <w:szCs w:val="22"/>
        </w:rPr>
        <w:t>9</w:t>
      </w:r>
      <w:r w:rsidR="00137B20" w:rsidRPr="000634A4">
        <w:rPr>
          <w:iCs/>
          <w:spacing w:val="-2"/>
          <w:sz w:val="22"/>
          <w:szCs w:val="22"/>
        </w:rPr>
        <w:t xml:space="preserve"> </w:t>
      </w:r>
      <w:r w:rsidRPr="000634A4">
        <w:rPr>
          <w:iCs/>
          <w:spacing w:val="-2"/>
          <w:sz w:val="22"/>
          <w:szCs w:val="22"/>
        </w:rPr>
        <w:t>million, as compared to working capital of approximately $</w:t>
      </w:r>
      <w:r w:rsidR="00E5354A" w:rsidRPr="000634A4">
        <w:rPr>
          <w:iCs/>
          <w:spacing w:val="-2"/>
          <w:sz w:val="22"/>
          <w:szCs w:val="22"/>
        </w:rPr>
        <w:t>12</w:t>
      </w:r>
      <w:r w:rsidR="007038DB" w:rsidRPr="000634A4">
        <w:rPr>
          <w:iCs/>
          <w:spacing w:val="-2"/>
          <w:sz w:val="22"/>
          <w:szCs w:val="22"/>
        </w:rPr>
        <w:t>.</w:t>
      </w:r>
      <w:r w:rsidR="00E5354A" w:rsidRPr="000634A4">
        <w:rPr>
          <w:iCs/>
          <w:spacing w:val="-2"/>
          <w:sz w:val="22"/>
          <w:szCs w:val="22"/>
        </w:rPr>
        <w:t xml:space="preserve">7 </w:t>
      </w:r>
      <w:r w:rsidRPr="000634A4">
        <w:rPr>
          <w:iCs/>
          <w:spacing w:val="-2"/>
          <w:sz w:val="22"/>
          <w:szCs w:val="22"/>
        </w:rPr>
        <w:t xml:space="preserve">million as of December 31, </w:t>
      </w:r>
      <w:r w:rsidR="00E5354A" w:rsidRPr="000634A4">
        <w:rPr>
          <w:iCs/>
          <w:spacing w:val="-2"/>
          <w:sz w:val="22"/>
          <w:szCs w:val="22"/>
        </w:rPr>
        <w:t>2021</w:t>
      </w:r>
      <w:r w:rsidRPr="00325FB0">
        <w:rPr>
          <w:iCs/>
          <w:spacing w:val="-2"/>
          <w:sz w:val="22"/>
          <w:szCs w:val="22"/>
        </w:rPr>
        <w:t>.</w:t>
      </w:r>
      <w:r w:rsidR="000B3274" w:rsidRPr="00325FB0">
        <w:rPr>
          <w:iCs/>
          <w:spacing w:val="-2"/>
        </w:rPr>
        <w:t xml:space="preserve"> </w:t>
      </w:r>
      <w:r w:rsidR="000B3274" w:rsidRPr="002746B0">
        <w:rPr>
          <w:iCs/>
          <w:spacing w:val="-2"/>
        </w:rPr>
        <w:t xml:space="preserve">The decrease in working capital is due to cash used to finance capital expenditures, payment of </w:t>
      </w:r>
      <w:r w:rsidR="00F15F6F" w:rsidRPr="002746B0">
        <w:rPr>
          <w:iCs/>
          <w:spacing w:val="-2"/>
        </w:rPr>
        <w:t>long</w:t>
      </w:r>
      <w:r w:rsidR="00F15F6F">
        <w:rPr>
          <w:iCs/>
          <w:spacing w:val="-2"/>
        </w:rPr>
        <w:t>-</w:t>
      </w:r>
      <w:r w:rsidR="000B3274" w:rsidRPr="002746B0">
        <w:rPr>
          <w:iCs/>
          <w:spacing w:val="-2"/>
        </w:rPr>
        <w:t>term obligations</w:t>
      </w:r>
      <w:r w:rsidR="00F15F6F">
        <w:rPr>
          <w:iCs/>
          <w:spacing w:val="-2"/>
        </w:rPr>
        <w:t>,</w:t>
      </w:r>
      <w:r w:rsidR="000B3274" w:rsidRPr="002746B0">
        <w:rPr>
          <w:iCs/>
          <w:spacing w:val="-2"/>
        </w:rPr>
        <w:t xml:space="preserve"> and operating losses incurred in the current fiscal year.</w:t>
      </w:r>
    </w:p>
    <w:p w14:paraId="4B25F6CD" w14:textId="5031A48B" w:rsidR="003D763D" w:rsidRPr="000634A4" w:rsidRDefault="003D763D" w:rsidP="00A81DCD">
      <w:pPr>
        <w:jc w:val="both"/>
        <w:rPr>
          <w:iCs/>
          <w:spacing w:val="-2"/>
          <w:sz w:val="22"/>
          <w:szCs w:val="22"/>
        </w:rPr>
      </w:pPr>
    </w:p>
    <w:p w14:paraId="275D2C08" w14:textId="587B0300" w:rsidR="007038DB" w:rsidRPr="000634A4" w:rsidRDefault="007038DB" w:rsidP="007038DB">
      <w:pPr>
        <w:tabs>
          <w:tab w:val="left" w:pos="-720"/>
        </w:tabs>
        <w:suppressAutoHyphens/>
        <w:spacing w:line="240" w:lineRule="atLeast"/>
        <w:jc w:val="both"/>
        <w:rPr>
          <w:i/>
          <w:spacing w:val="-2"/>
          <w:sz w:val="22"/>
          <w:szCs w:val="22"/>
        </w:rPr>
      </w:pPr>
      <w:r w:rsidRPr="000634A4">
        <w:rPr>
          <w:i/>
          <w:spacing w:val="-2"/>
          <w:sz w:val="22"/>
          <w:szCs w:val="22"/>
        </w:rPr>
        <w:t>Gain on PPP Loan Forgiveness</w:t>
      </w:r>
    </w:p>
    <w:p w14:paraId="3C6F047A" w14:textId="77777777" w:rsidR="007038DB" w:rsidRPr="000634A4" w:rsidRDefault="007038DB" w:rsidP="007038DB">
      <w:pPr>
        <w:tabs>
          <w:tab w:val="left" w:pos="-720"/>
        </w:tabs>
        <w:suppressAutoHyphens/>
        <w:spacing w:line="240" w:lineRule="atLeast"/>
        <w:jc w:val="both"/>
        <w:rPr>
          <w:i/>
          <w:spacing w:val="-2"/>
          <w:sz w:val="22"/>
          <w:szCs w:val="22"/>
        </w:rPr>
      </w:pPr>
    </w:p>
    <w:p w14:paraId="12C1CCF2" w14:textId="77777777" w:rsidR="00E5354A" w:rsidRPr="000634A4" w:rsidRDefault="00E5354A" w:rsidP="00E5354A">
      <w:pPr>
        <w:tabs>
          <w:tab w:val="left" w:pos="-720"/>
        </w:tabs>
        <w:suppressAutoHyphens/>
        <w:spacing w:line="240" w:lineRule="atLeast"/>
        <w:jc w:val="both"/>
        <w:rPr>
          <w:i/>
          <w:spacing w:val="-2"/>
          <w:sz w:val="22"/>
          <w:szCs w:val="22"/>
        </w:rPr>
      </w:pPr>
      <w:r w:rsidRPr="000634A4">
        <w:rPr>
          <w:sz w:val="22"/>
          <w:szCs w:val="22"/>
        </w:rPr>
        <w:tab/>
        <w:t>On May 4, 2020, we received loan proceeds of $579,700 under the Paycheck Protection Program (“PPP”) which was established as part of the Coronavirus Aid, Relief and Economic Security Act of 2020, as amended. On May 21, 2021, the Company’s loan forgiveness application was approved for 100% of the amount loaned to the Company by the Small Business Administration (“SBA”).</w:t>
      </w:r>
      <w:r w:rsidRPr="000634A4" w:rsidDel="00823DE4">
        <w:rPr>
          <w:sz w:val="22"/>
          <w:szCs w:val="22"/>
        </w:rPr>
        <w:t xml:space="preserve"> </w:t>
      </w:r>
    </w:p>
    <w:p w14:paraId="596E4194" w14:textId="4D8F47C6" w:rsidR="00A81DCD" w:rsidRPr="000634A4" w:rsidRDefault="00A81DCD" w:rsidP="00674396">
      <w:pPr>
        <w:tabs>
          <w:tab w:val="left" w:pos="-720"/>
        </w:tabs>
        <w:suppressAutoHyphens/>
        <w:spacing w:line="240" w:lineRule="atLeast"/>
        <w:jc w:val="both"/>
        <w:rPr>
          <w:spacing w:val="-2"/>
          <w:sz w:val="22"/>
          <w:szCs w:val="22"/>
        </w:rPr>
      </w:pPr>
      <w:r w:rsidRPr="000634A4">
        <w:rPr>
          <w:iCs/>
          <w:spacing w:val="-2"/>
          <w:sz w:val="22"/>
          <w:szCs w:val="22"/>
        </w:rPr>
        <w:tab/>
      </w:r>
    </w:p>
    <w:p w14:paraId="5CA0EDA8" w14:textId="6FA7212B" w:rsidR="00BA2C2E" w:rsidRPr="000634A4" w:rsidRDefault="00BA2C2E" w:rsidP="00BA2C2E">
      <w:pPr>
        <w:ind w:firstLine="720"/>
        <w:jc w:val="both"/>
        <w:rPr>
          <w:iCs/>
          <w:spacing w:val="-2"/>
          <w:sz w:val="22"/>
          <w:szCs w:val="22"/>
        </w:rPr>
      </w:pPr>
      <w:r w:rsidRPr="000634A4">
        <w:rPr>
          <w:spacing w:val="-2"/>
          <w:sz w:val="22"/>
          <w:szCs w:val="22"/>
        </w:rPr>
        <w:t xml:space="preserve">Proceeds from stock option exercises </w:t>
      </w:r>
      <w:r w:rsidR="00B97AF1" w:rsidRPr="000634A4">
        <w:rPr>
          <w:spacing w:val="-2"/>
          <w:sz w:val="22"/>
          <w:szCs w:val="22"/>
        </w:rPr>
        <w:t>for the year ended</w:t>
      </w:r>
      <w:r w:rsidRPr="000634A4">
        <w:rPr>
          <w:spacing w:val="-2"/>
          <w:sz w:val="22"/>
          <w:szCs w:val="22"/>
        </w:rPr>
        <w:t xml:space="preserve"> December 31, </w:t>
      </w:r>
      <w:r w:rsidR="00C05A4F" w:rsidRPr="000634A4">
        <w:rPr>
          <w:spacing w:val="-2"/>
          <w:sz w:val="22"/>
          <w:szCs w:val="22"/>
        </w:rPr>
        <w:t xml:space="preserve">2022 </w:t>
      </w:r>
      <w:r w:rsidRPr="000634A4">
        <w:rPr>
          <w:spacing w:val="-2"/>
          <w:sz w:val="22"/>
          <w:szCs w:val="22"/>
        </w:rPr>
        <w:t>were $</w:t>
      </w:r>
      <w:r w:rsidR="00637340" w:rsidRPr="000634A4">
        <w:rPr>
          <w:spacing w:val="-2"/>
          <w:sz w:val="22"/>
          <w:szCs w:val="22"/>
        </w:rPr>
        <w:t xml:space="preserve">0.3 </w:t>
      </w:r>
      <w:r w:rsidRPr="000634A4">
        <w:rPr>
          <w:spacing w:val="-2"/>
          <w:sz w:val="22"/>
          <w:szCs w:val="22"/>
        </w:rPr>
        <w:t>million.</w:t>
      </w:r>
    </w:p>
    <w:p w14:paraId="24CA3155" w14:textId="77777777" w:rsidR="00BA2C2E" w:rsidRPr="000634A4" w:rsidRDefault="00BA2C2E" w:rsidP="00BA2C2E">
      <w:pPr>
        <w:ind w:firstLine="720"/>
        <w:jc w:val="both"/>
        <w:rPr>
          <w:iCs/>
          <w:spacing w:val="-2"/>
          <w:sz w:val="22"/>
          <w:szCs w:val="22"/>
        </w:rPr>
      </w:pPr>
    </w:p>
    <w:p w14:paraId="7BD3418C" w14:textId="5A0FCE68" w:rsidR="00BA2C2E" w:rsidRPr="000634A4" w:rsidRDefault="00BA2C2E" w:rsidP="00BA2C2E">
      <w:pPr>
        <w:ind w:firstLine="720"/>
        <w:jc w:val="both"/>
        <w:rPr>
          <w:spacing w:val="-2"/>
          <w:sz w:val="22"/>
          <w:szCs w:val="22"/>
        </w:rPr>
      </w:pPr>
      <w:r w:rsidRPr="000634A4">
        <w:rPr>
          <w:iCs/>
          <w:spacing w:val="-2"/>
          <w:sz w:val="22"/>
          <w:szCs w:val="22"/>
        </w:rPr>
        <w:lastRenderedPageBreak/>
        <w:t xml:space="preserve">We did not have any material commitments for capital expenditures as of December 31, </w:t>
      </w:r>
      <w:r w:rsidR="00C05A4F" w:rsidRPr="000634A4">
        <w:rPr>
          <w:iCs/>
          <w:spacing w:val="-2"/>
          <w:sz w:val="22"/>
          <w:szCs w:val="22"/>
        </w:rPr>
        <w:t>2022</w:t>
      </w:r>
      <w:r w:rsidRPr="000634A4">
        <w:rPr>
          <w:sz w:val="22"/>
          <w:szCs w:val="22"/>
        </w:rPr>
        <w:t xml:space="preserve">. </w:t>
      </w:r>
    </w:p>
    <w:p w14:paraId="7286967C" w14:textId="77777777" w:rsidR="00BA2C2E" w:rsidRPr="000634A4" w:rsidRDefault="00BA2C2E" w:rsidP="00BA2C2E">
      <w:pPr>
        <w:jc w:val="both"/>
        <w:rPr>
          <w:iCs/>
          <w:spacing w:val="-2"/>
          <w:sz w:val="22"/>
          <w:szCs w:val="22"/>
        </w:rPr>
      </w:pPr>
    </w:p>
    <w:p w14:paraId="3048125A" w14:textId="58116258" w:rsidR="00BA2C2E" w:rsidRPr="000634A4" w:rsidRDefault="00BA2C2E" w:rsidP="00BA2C2E">
      <w:pPr>
        <w:tabs>
          <w:tab w:val="left" w:pos="-720"/>
        </w:tabs>
        <w:suppressAutoHyphens/>
        <w:spacing w:line="240" w:lineRule="atLeast"/>
        <w:ind w:firstLine="720"/>
        <w:jc w:val="both"/>
        <w:rPr>
          <w:iCs/>
          <w:spacing w:val="-2"/>
          <w:sz w:val="22"/>
          <w:szCs w:val="22"/>
        </w:rPr>
      </w:pPr>
      <w:r w:rsidRPr="000634A4">
        <w:rPr>
          <w:iCs/>
          <w:spacing w:val="-2"/>
          <w:sz w:val="22"/>
          <w:szCs w:val="22"/>
        </w:rPr>
        <w:t xml:space="preserve">We believe that our existing cash and cash equivalents and cash flows from operations will provide sufficient sources of liquidity to satisfy our financial needs for </w:t>
      </w:r>
      <w:r w:rsidR="00F8024B" w:rsidRPr="000634A4">
        <w:rPr>
          <w:iCs/>
          <w:spacing w:val="-2"/>
          <w:sz w:val="22"/>
          <w:szCs w:val="22"/>
        </w:rPr>
        <w:t>at least</w:t>
      </w:r>
      <w:r w:rsidRPr="000634A4">
        <w:rPr>
          <w:iCs/>
          <w:spacing w:val="-2"/>
          <w:sz w:val="22"/>
          <w:szCs w:val="22"/>
        </w:rPr>
        <w:t xml:space="preserve"> 12 months from the date of issuance of these financial statements. However, as we have no bank facilities or lines of credit, reductions in our cash and cash equivalents from operating losses, capital expenditures, adverse legal decisions, acquisitions or otherwise could materially and adversely affect the Company.</w:t>
      </w:r>
    </w:p>
    <w:p w14:paraId="6BEF64D6" w14:textId="77777777" w:rsidR="00A81DCD" w:rsidRPr="000634A4" w:rsidRDefault="00A81DCD" w:rsidP="00A81DCD">
      <w:pPr>
        <w:tabs>
          <w:tab w:val="left" w:pos="-720"/>
        </w:tabs>
        <w:suppressAutoHyphens/>
        <w:spacing w:line="240" w:lineRule="atLeast"/>
        <w:ind w:firstLine="720"/>
        <w:jc w:val="both"/>
        <w:rPr>
          <w:iCs/>
          <w:spacing w:val="-2"/>
          <w:sz w:val="22"/>
          <w:szCs w:val="22"/>
        </w:rPr>
      </w:pPr>
    </w:p>
    <w:p w14:paraId="7A4795D7" w14:textId="77777777" w:rsidR="009F5AAB" w:rsidRPr="000634A4" w:rsidRDefault="009F5AAB" w:rsidP="009F5AAB">
      <w:pPr>
        <w:tabs>
          <w:tab w:val="left" w:pos="-720"/>
        </w:tabs>
        <w:suppressAutoHyphens/>
        <w:spacing w:line="240" w:lineRule="atLeast"/>
        <w:jc w:val="both"/>
        <w:rPr>
          <w:i/>
          <w:iCs/>
          <w:spacing w:val="-2"/>
          <w:sz w:val="22"/>
          <w:szCs w:val="22"/>
        </w:rPr>
      </w:pPr>
      <w:r w:rsidRPr="000634A4">
        <w:rPr>
          <w:i/>
          <w:iCs/>
          <w:spacing w:val="-2"/>
          <w:sz w:val="22"/>
          <w:szCs w:val="22"/>
        </w:rPr>
        <w:t>Net Cash Provided by Operating Activities</w:t>
      </w:r>
    </w:p>
    <w:p w14:paraId="274C4335" w14:textId="77777777" w:rsidR="009F5AAB" w:rsidRPr="000634A4" w:rsidRDefault="009F5AAB" w:rsidP="009F5AAB">
      <w:pPr>
        <w:tabs>
          <w:tab w:val="left" w:pos="-720"/>
        </w:tabs>
        <w:suppressAutoHyphens/>
        <w:spacing w:line="240" w:lineRule="atLeast"/>
        <w:jc w:val="both"/>
        <w:rPr>
          <w:i/>
          <w:iCs/>
          <w:spacing w:val="-2"/>
          <w:sz w:val="22"/>
          <w:szCs w:val="22"/>
        </w:rPr>
      </w:pPr>
    </w:p>
    <w:p w14:paraId="70002FC3" w14:textId="3709E239" w:rsidR="00113E25" w:rsidRPr="000634A4" w:rsidRDefault="00113E25" w:rsidP="00113E25">
      <w:pPr>
        <w:tabs>
          <w:tab w:val="left" w:pos="-720"/>
        </w:tabs>
        <w:suppressAutoHyphens/>
        <w:spacing w:line="240" w:lineRule="atLeast"/>
        <w:ind w:firstLine="720"/>
        <w:jc w:val="both"/>
        <w:rPr>
          <w:spacing w:val="-2"/>
          <w:sz w:val="22"/>
          <w:szCs w:val="22"/>
        </w:rPr>
      </w:pPr>
      <w:bookmarkStart w:id="35" w:name="_Hlk8072890"/>
      <w:r w:rsidRPr="000634A4">
        <w:rPr>
          <w:spacing w:val="-2"/>
          <w:sz w:val="22"/>
          <w:szCs w:val="22"/>
        </w:rPr>
        <w:t xml:space="preserve">Cash </w:t>
      </w:r>
      <w:r w:rsidR="00031048" w:rsidRPr="000634A4">
        <w:rPr>
          <w:spacing w:val="-2"/>
          <w:sz w:val="22"/>
          <w:szCs w:val="22"/>
        </w:rPr>
        <w:t xml:space="preserve">used in </w:t>
      </w:r>
      <w:r w:rsidRPr="000634A4">
        <w:rPr>
          <w:spacing w:val="-2"/>
          <w:sz w:val="22"/>
          <w:szCs w:val="22"/>
        </w:rPr>
        <w:t xml:space="preserve">our operating activities for the year ended December 31, </w:t>
      </w:r>
      <w:r w:rsidR="00C05A4F" w:rsidRPr="000634A4">
        <w:rPr>
          <w:spacing w:val="-2"/>
          <w:sz w:val="22"/>
          <w:szCs w:val="22"/>
        </w:rPr>
        <w:t xml:space="preserve">2022 </w:t>
      </w:r>
      <w:r w:rsidRPr="000634A4">
        <w:rPr>
          <w:spacing w:val="-2"/>
          <w:sz w:val="22"/>
          <w:szCs w:val="22"/>
        </w:rPr>
        <w:t>was $</w:t>
      </w:r>
      <w:r w:rsidR="00031048" w:rsidRPr="000634A4">
        <w:rPr>
          <w:spacing w:val="-2"/>
          <w:sz w:val="22"/>
          <w:szCs w:val="22"/>
        </w:rPr>
        <w:t>1.2 </w:t>
      </w:r>
      <w:r w:rsidRPr="000634A4">
        <w:rPr>
          <w:spacing w:val="-2"/>
          <w:sz w:val="22"/>
          <w:szCs w:val="22"/>
        </w:rPr>
        <w:t>million and was the result of the net loss of $</w:t>
      </w:r>
      <w:r w:rsidR="00AE65DA" w:rsidRPr="000634A4">
        <w:rPr>
          <w:spacing w:val="-2"/>
          <w:sz w:val="22"/>
          <w:szCs w:val="22"/>
        </w:rPr>
        <w:t>12</w:t>
      </w:r>
      <w:r w:rsidR="00031048" w:rsidRPr="000634A4">
        <w:rPr>
          <w:spacing w:val="-2"/>
          <w:sz w:val="22"/>
          <w:szCs w:val="22"/>
        </w:rPr>
        <w:t>.</w:t>
      </w:r>
      <w:r w:rsidR="00AE65DA" w:rsidRPr="000634A4">
        <w:rPr>
          <w:spacing w:val="-2"/>
          <w:sz w:val="22"/>
          <w:szCs w:val="22"/>
        </w:rPr>
        <w:t>0</w:t>
      </w:r>
      <w:r w:rsidR="00A907A6" w:rsidRPr="000634A4">
        <w:rPr>
          <w:spacing w:val="-2"/>
          <w:sz w:val="22"/>
          <w:szCs w:val="22"/>
        </w:rPr>
        <w:t xml:space="preserve"> </w:t>
      </w:r>
      <w:r w:rsidRPr="000634A4">
        <w:rPr>
          <w:spacing w:val="-2"/>
          <w:sz w:val="22"/>
          <w:szCs w:val="22"/>
        </w:rPr>
        <w:t>million, the effect of adjustments for non-cash items of $</w:t>
      </w:r>
      <w:r w:rsidR="00713EC9" w:rsidRPr="000634A4">
        <w:rPr>
          <w:spacing w:val="-2"/>
          <w:sz w:val="22"/>
          <w:szCs w:val="22"/>
        </w:rPr>
        <w:t>8.</w:t>
      </w:r>
      <w:r w:rsidR="00D20CCC">
        <w:rPr>
          <w:spacing w:val="-2"/>
          <w:sz w:val="22"/>
          <w:szCs w:val="22"/>
        </w:rPr>
        <w:t>9</w:t>
      </w:r>
      <w:r w:rsidR="00D20CCC" w:rsidRPr="000634A4">
        <w:rPr>
          <w:spacing w:val="-2"/>
          <w:sz w:val="22"/>
          <w:szCs w:val="22"/>
        </w:rPr>
        <w:t xml:space="preserve"> </w:t>
      </w:r>
      <w:r w:rsidRPr="000634A4">
        <w:rPr>
          <w:spacing w:val="-2"/>
          <w:sz w:val="22"/>
          <w:szCs w:val="22"/>
        </w:rPr>
        <w:t>million and sources of working capital of $</w:t>
      </w:r>
      <w:r w:rsidR="00D20CCC">
        <w:rPr>
          <w:spacing w:val="-2"/>
          <w:sz w:val="22"/>
          <w:szCs w:val="22"/>
        </w:rPr>
        <w:t>1</w:t>
      </w:r>
      <w:r w:rsidR="003175A3" w:rsidRPr="000634A4">
        <w:rPr>
          <w:spacing w:val="-2"/>
          <w:sz w:val="22"/>
          <w:szCs w:val="22"/>
        </w:rPr>
        <w:t>.</w:t>
      </w:r>
      <w:r w:rsidR="00CA5191">
        <w:rPr>
          <w:spacing w:val="-2"/>
          <w:sz w:val="22"/>
          <w:szCs w:val="22"/>
        </w:rPr>
        <w:t xml:space="preserve">9 </w:t>
      </w:r>
      <w:r w:rsidRPr="000634A4">
        <w:rPr>
          <w:spacing w:val="-2"/>
          <w:sz w:val="22"/>
          <w:szCs w:val="22"/>
        </w:rPr>
        <w:t>million. Adjustments for non-cash items primarily consisted of $</w:t>
      </w:r>
      <w:r w:rsidR="006E4A5F" w:rsidRPr="000634A4">
        <w:rPr>
          <w:spacing w:val="-2"/>
          <w:sz w:val="22"/>
          <w:szCs w:val="22"/>
        </w:rPr>
        <w:t xml:space="preserve">3.9 </w:t>
      </w:r>
      <w:r w:rsidRPr="000634A4">
        <w:rPr>
          <w:spacing w:val="-2"/>
          <w:sz w:val="22"/>
          <w:szCs w:val="22"/>
        </w:rPr>
        <w:t>million for depreciation and amortization, stock-based compensation of $</w:t>
      </w:r>
      <w:r w:rsidR="006E4A5F" w:rsidRPr="000634A4">
        <w:rPr>
          <w:spacing w:val="-2"/>
          <w:sz w:val="22"/>
          <w:szCs w:val="22"/>
        </w:rPr>
        <w:t xml:space="preserve">3.3 </w:t>
      </w:r>
      <w:r w:rsidRPr="000634A4">
        <w:rPr>
          <w:spacing w:val="-2"/>
          <w:sz w:val="22"/>
          <w:szCs w:val="22"/>
        </w:rPr>
        <w:t>million</w:t>
      </w:r>
      <w:r w:rsidR="003747EB" w:rsidRPr="000634A4">
        <w:rPr>
          <w:spacing w:val="-2"/>
          <w:sz w:val="22"/>
          <w:szCs w:val="22"/>
        </w:rPr>
        <w:t>, pension cost of $</w:t>
      </w:r>
      <w:r w:rsidR="00F00AE0" w:rsidRPr="000634A4">
        <w:rPr>
          <w:spacing w:val="-2"/>
          <w:sz w:val="22"/>
          <w:szCs w:val="22"/>
        </w:rPr>
        <w:t xml:space="preserve">0.9 </w:t>
      </w:r>
      <w:r w:rsidR="003747EB" w:rsidRPr="000634A4">
        <w:rPr>
          <w:spacing w:val="-2"/>
          <w:sz w:val="22"/>
          <w:szCs w:val="22"/>
        </w:rPr>
        <w:t>million</w:t>
      </w:r>
      <w:r w:rsidR="009C64AC" w:rsidRPr="000634A4">
        <w:rPr>
          <w:spacing w:val="-2"/>
          <w:sz w:val="22"/>
          <w:szCs w:val="22"/>
        </w:rPr>
        <w:t xml:space="preserve">, </w:t>
      </w:r>
      <w:r w:rsidR="00153AE3" w:rsidRPr="000634A4">
        <w:rPr>
          <w:spacing w:val="-2"/>
          <w:sz w:val="22"/>
          <w:szCs w:val="22"/>
        </w:rPr>
        <w:t>provision for doubtful accounts of $0.</w:t>
      </w:r>
      <w:r w:rsidR="00D0210D">
        <w:rPr>
          <w:spacing w:val="-2"/>
          <w:sz w:val="22"/>
          <w:szCs w:val="22"/>
        </w:rPr>
        <w:t>5</w:t>
      </w:r>
      <w:r w:rsidR="00D0210D" w:rsidRPr="000634A4">
        <w:rPr>
          <w:spacing w:val="-2"/>
          <w:sz w:val="22"/>
          <w:szCs w:val="22"/>
        </w:rPr>
        <w:t xml:space="preserve"> </w:t>
      </w:r>
      <w:r w:rsidR="00153AE3" w:rsidRPr="000634A4">
        <w:rPr>
          <w:spacing w:val="-2"/>
          <w:sz w:val="22"/>
          <w:szCs w:val="22"/>
        </w:rPr>
        <w:t xml:space="preserve">million, </w:t>
      </w:r>
      <w:r w:rsidR="009C64AC" w:rsidRPr="000634A4">
        <w:rPr>
          <w:spacing w:val="-2"/>
          <w:sz w:val="22"/>
          <w:szCs w:val="22"/>
        </w:rPr>
        <w:t>deferred income tax of $0.2 million</w:t>
      </w:r>
      <w:r w:rsidR="00FA5A73" w:rsidRPr="000634A4">
        <w:rPr>
          <w:spacing w:val="-2"/>
          <w:sz w:val="22"/>
          <w:szCs w:val="22"/>
        </w:rPr>
        <w:t>,</w:t>
      </w:r>
      <w:r w:rsidR="009C64AC" w:rsidRPr="000634A4">
        <w:rPr>
          <w:spacing w:val="-2"/>
          <w:sz w:val="22"/>
          <w:szCs w:val="22"/>
        </w:rPr>
        <w:t xml:space="preserve"> loss on </w:t>
      </w:r>
      <w:r w:rsidR="00CC1DC3">
        <w:rPr>
          <w:spacing w:val="-2"/>
          <w:sz w:val="22"/>
          <w:szCs w:val="22"/>
        </w:rPr>
        <w:t xml:space="preserve">lease termination </w:t>
      </w:r>
      <w:r w:rsidR="00C66C91" w:rsidRPr="000634A4">
        <w:rPr>
          <w:spacing w:val="-2"/>
          <w:sz w:val="22"/>
          <w:szCs w:val="22"/>
        </w:rPr>
        <w:t>of $0.1 million</w:t>
      </w:r>
      <w:r w:rsidR="00FA5A73" w:rsidRPr="000634A4">
        <w:rPr>
          <w:spacing w:val="-2"/>
          <w:sz w:val="22"/>
          <w:szCs w:val="22"/>
        </w:rPr>
        <w:t xml:space="preserve"> and other</w:t>
      </w:r>
      <w:r w:rsidR="00F1295D" w:rsidRPr="000634A4">
        <w:rPr>
          <w:spacing w:val="-2"/>
          <w:sz w:val="22"/>
          <w:szCs w:val="22"/>
        </w:rPr>
        <w:t xml:space="preserve"> non-cash items of $0.1 million</w:t>
      </w:r>
      <w:r w:rsidRPr="000634A4">
        <w:rPr>
          <w:spacing w:val="-2"/>
          <w:sz w:val="22"/>
          <w:szCs w:val="22"/>
        </w:rPr>
        <w:t xml:space="preserve">. Working capital activities primarily consisted </w:t>
      </w:r>
      <w:r w:rsidR="004748E5" w:rsidRPr="000634A4">
        <w:rPr>
          <w:spacing w:val="-2"/>
          <w:sz w:val="22"/>
          <w:szCs w:val="22"/>
        </w:rPr>
        <w:t>of</w:t>
      </w:r>
      <w:r w:rsidR="00262777" w:rsidRPr="000634A4">
        <w:rPr>
          <w:spacing w:val="-2"/>
          <w:sz w:val="22"/>
          <w:szCs w:val="22"/>
        </w:rPr>
        <w:t xml:space="preserve"> sources from</w:t>
      </w:r>
      <w:r w:rsidR="004748E5" w:rsidRPr="000634A4">
        <w:rPr>
          <w:spacing w:val="-2"/>
          <w:sz w:val="22"/>
          <w:szCs w:val="22"/>
        </w:rPr>
        <w:t xml:space="preserve"> </w:t>
      </w:r>
      <w:r w:rsidRPr="000634A4">
        <w:rPr>
          <w:spacing w:val="-2"/>
          <w:sz w:val="22"/>
          <w:szCs w:val="22"/>
        </w:rPr>
        <w:t>a $</w:t>
      </w:r>
      <w:r w:rsidR="00C66C91" w:rsidRPr="000634A4">
        <w:rPr>
          <w:spacing w:val="-2"/>
          <w:sz w:val="22"/>
          <w:szCs w:val="22"/>
        </w:rPr>
        <w:t>1.</w:t>
      </w:r>
      <w:r w:rsidR="00C74023">
        <w:rPr>
          <w:spacing w:val="-2"/>
          <w:sz w:val="22"/>
          <w:szCs w:val="22"/>
        </w:rPr>
        <w:t>3</w:t>
      </w:r>
      <w:r w:rsidR="00C74023" w:rsidRPr="000634A4">
        <w:rPr>
          <w:spacing w:val="-2"/>
          <w:sz w:val="22"/>
          <w:szCs w:val="22"/>
        </w:rPr>
        <w:t xml:space="preserve"> </w:t>
      </w:r>
      <w:r w:rsidRPr="000634A4">
        <w:rPr>
          <w:spacing w:val="-2"/>
          <w:sz w:val="22"/>
          <w:szCs w:val="22"/>
        </w:rPr>
        <w:t xml:space="preserve">million </w:t>
      </w:r>
      <w:r w:rsidR="00961965" w:rsidRPr="000634A4">
        <w:rPr>
          <w:spacing w:val="-2"/>
          <w:sz w:val="22"/>
          <w:szCs w:val="22"/>
        </w:rPr>
        <w:t>decrease</w:t>
      </w:r>
      <w:r w:rsidR="00134E0F" w:rsidRPr="000634A4">
        <w:rPr>
          <w:spacing w:val="-2"/>
          <w:sz w:val="22"/>
          <w:szCs w:val="22"/>
        </w:rPr>
        <w:t xml:space="preserve"> </w:t>
      </w:r>
      <w:r w:rsidRPr="000634A4">
        <w:rPr>
          <w:spacing w:val="-2"/>
          <w:sz w:val="22"/>
          <w:szCs w:val="22"/>
        </w:rPr>
        <w:t xml:space="preserve">in </w:t>
      </w:r>
      <w:r w:rsidR="003747EB" w:rsidRPr="000634A4">
        <w:rPr>
          <w:spacing w:val="-2"/>
          <w:sz w:val="22"/>
          <w:szCs w:val="22"/>
        </w:rPr>
        <w:t xml:space="preserve">accounts </w:t>
      </w:r>
      <w:r w:rsidR="00C66C91" w:rsidRPr="000634A4">
        <w:rPr>
          <w:spacing w:val="-2"/>
          <w:sz w:val="22"/>
          <w:szCs w:val="22"/>
        </w:rPr>
        <w:t>receivable</w:t>
      </w:r>
      <w:r w:rsidRPr="000634A4">
        <w:rPr>
          <w:spacing w:val="-2"/>
          <w:sz w:val="22"/>
          <w:szCs w:val="22"/>
        </w:rPr>
        <w:t>,</w:t>
      </w:r>
      <w:r w:rsidR="00134E0F" w:rsidRPr="000634A4">
        <w:rPr>
          <w:spacing w:val="-2"/>
          <w:sz w:val="22"/>
          <w:szCs w:val="22"/>
        </w:rPr>
        <w:t xml:space="preserve"> a $0.8 million </w:t>
      </w:r>
      <w:r w:rsidR="004748E5" w:rsidRPr="000634A4">
        <w:rPr>
          <w:spacing w:val="-2"/>
          <w:sz w:val="22"/>
          <w:szCs w:val="22"/>
        </w:rPr>
        <w:t xml:space="preserve">decrease </w:t>
      </w:r>
      <w:r w:rsidR="00134E0F" w:rsidRPr="000634A4">
        <w:rPr>
          <w:spacing w:val="-2"/>
          <w:sz w:val="22"/>
          <w:szCs w:val="22"/>
        </w:rPr>
        <w:t>in other assets,</w:t>
      </w:r>
      <w:r w:rsidR="009525A3" w:rsidRPr="000634A4">
        <w:rPr>
          <w:spacing w:val="-2"/>
          <w:sz w:val="22"/>
          <w:szCs w:val="22"/>
        </w:rPr>
        <w:t xml:space="preserve"> </w:t>
      </w:r>
      <w:r w:rsidR="008D28F4" w:rsidRPr="000634A4">
        <w:rPr>
          <w:spacing w:val="-2"/>
          <w:sz w:val="22"/>
          <w:szCs w:val="22"/>
        </w:rPr>
        <w:t xml:space="preserve">a </w:t>
      </w:r>
      <w:r w:rsidR="00134E0F" w:rsidRPr="000634A4">
        <w:rPr>
          <w:spacing w:val="-2"/>
          <w:sz w:val="22"/>
          <w:szCs w:val="22"/>
        </w:rPr>
        <w:t xml:space="preserve">$0.3 million </w:t>
      </w:r>
      <w:r w:rsidR="008371F9" w:rsidRPr="000634A4">
        <w:rPr>
          <w:spacing w:val="-2"/>
          <w:sz w:val="22"/>
          <w:szCs w:val="22"/>
        </w:rPr>
        <w:t xml:space="preserve">increase </w:t>
      </w:r>
      <w:r w:rsidR="00983370" w:rsidRPr="000634A4">
        <w:rPr>
          <w:spacing w:val="-2"/>
          <w:sz w:val="22"/>
          <w:szCs w:val="22"/>
        </w:rPr>
        <w:t xml:space="preserve">in accounts payable and </w:t>
      </w:r>
      <w:r w:rsidR="009525A3" w:rsidRPr="000634A4">
        <w:rPr>
          <w:spacing w:val="-2"/>
          <w:sz w:val="22"/>
          <w:szCs w:val="22"/>
        </w:rPr>
        <w:t>accrued expenses and other</w:t>
      </w:r>
      <w:r w:rsidR="004140C7" w:rsidRPr="004140C7">
        <w:rPr>
          <w:spacing w:val="-2"/>
          <w:sz w:val="22"/>
          <w:szCs w:val="22"/>
        </w:rPr>
        <w:t xml:space="preserve"> </w:t>
      </w:r>
      <w:r w:rsidR="004140C7">
        <w:rPr>
          <w:spacing w:val="-2"/>
          <w:sz w:val="22"/>
          <w:szCs w:val="22"/>
        </w:rPr>
        <w:t>and a $0.1 million increase in other working capital</w:t>
      </w:r>
      <w:r w:rsidRPr="000634A4">
        <w:rPr>
          <w:spacing w:val="-2"/>
          <w:sz w:val="22"/>
          <w:szCs w:val="22"/>
        </w:rPr>
        <w:t xml:space="preserve">, </w:t>
      </w:r>
      <w:r w:rsidR="00FA7E20" w:rsidRPr="000634A4">
        <w:rPr>
          <w:spacing w:val="-2"/>
          <w:sz w:val="22"/>
          <w:szCs w:val="22"/>
        </w:rPr>
        <w:t xml:space="preserve">offset </w:t>
      </w:r>
      <w:r w:rsidR="000131C6" w:rsidRPr="000634A4">
        <w:rPr>
          <w:spacing w:val="-2"/>
          <w:sz w:val="22"/>
          <w:szCs w:val="22"/>
        </w:rPr>
        <w:t xml:space="preserve">in part </w:t>
      </w:r>
      <w:r w:rsidR="00FA7E20" w:rsidRPr="000634A4">
        <w:rPr>
          <w:spacing w:val="-2"/>
          <w:sz w:val="22"/>
          <w:szCs w:val="22"/>
        </w:rPr>
        <w:t xml:space="preserve">by </w:t>
      </w:r>
      <w:r w:rsidRPr="000634A4">
        <w:rPr>
          <w:spacing w:val="-2"/>
          <w:sz w:val="22"/>
          <w:szCs w:val="22"/>
        </w:rPr>
        <w:t>a $</w:t>
      </w:r>
      <w:r w:rsidR="00FA7E20" w:rsidRPr="000634A4">
        <w:rPr>
          <w:spacing w:val="-2"/>
          <w:sz w:val="22"/>
          <w:szCs w:val="22"/>
        </w:rPr>
        <w:t xml:space="preserve">0.3 </w:t>
      </w:r>
      <w:r w:rsidRPr="000634A4">
        <w:rPr>
          <w:spacing w:val="-2"/>
          <w:sz w:val="22"/>
          <w:szCs w:val="22"/>
        </w:rPr>
        <w:t xml:space="preserve">million </w:t>
      </w:r>
      <w:r w:rsidR="00FA7E20" w:rsidRPr="000634A4">
        <w:rPr>
          <w:spacing w:val="-2"/>
          <w:sz w:val="22"/>
          <w:szCs w:val="22"/>
        </w:rPr>
        <w:t xml:space="preserve">decrease </w:t>
      </w:r>
      <w:r w:rsidR="00C5476B" w:rsidRPr="000634A4">
        <w:rPr>
          <w:spacing w:val="-2"/>
          <w:sz w:val="22"/>
          <w:szCs w:val="22"/>
        </w:rPr>
        <w:t>in</w:t>
      </w:r>
      <w:r w:rsidRPr="000634A4">
        <w:rPr>
          <w:spacing w:val="-2"/>
          <w:sz w:val="22"/>
          <w:szCs w:val="22"/>
        </w:rPr>
        <w:t xml:space="preserve"> </w:t>
      </w:r>
      <w:r w:rsidR="009525A3" w:rsidRPr="000634A4">
        <w:rPr>
          <w:spacing w:val="-2"/>
          <w:sz w:val="22"/>
          <w:szCs w:val="22"/>
        </w:rPr>
        <w:t>accrued salaries, wages and related benefits</w:t>
      </w:r>
      <w:r w:rsidR="00622FC1">
        <w:rPr>
          <w:spacing w:val="-2"/>
          <w:sz w:val="22"/>
          <w:szCs w:val="22"/>
        </w:rPr>
        <w:t xml:space="preserve">, </w:t>
      </w:r>
      <w:r w:rsidR="002618E8" w:rsidRPr="000634A4">
        <w:rPr>
          <w:spacing w:val="-2"/>
          <w:sz w:val="22"/>
          <w:szCs w:val="22"/>
        </w:rPr>
        <w:t>a $</w:t>
      </w:r>
      <w:r w:rsidR="009B1F87" w:rsidRPr="000634A4">
        <w:rPr>
          <w:spacing w:val="-2"/>
          <w:sz w:val="22"/>
          <w:szCs w:val="22"/>
        </w:rPr>
        <w:t xml:space="preserve">0.3 </w:t>
      </w:r>
      <w:r w:rsidR="002618E8" w:rsidRPr="000634A4">
        <w:rPr>
          <w:spacing w:val="-2"/>
          <w:sz w:val="22"/>
          <w:szCs w:val="22"/>
        </w:rPr>
        <w:t xml:space="preserve">million </w:t>
      </w:r>
      <w:r w:rsidR="00CC1DC3">
        <w:rPr>
          <w:spacing w:val="-2"/>
          <w:sz w:val="22"/>
          <w:szCs w:val="22"/>
        </w:rPr>
        <w:t>increase</w:t>
      </w:r>
      <w:r w:rsidR="00CC1DC3" w:rsidRPr="000634A4">
        <w:rPr>
          <w:spacing w:val="-2"/>
          <w:sz w:val="22"/>
          <w:szCs w:val="22"/>
        </w:rPr>
        <w:t xml:space="preserve"> </w:t>
      </w:r>
      <w:r w:rsidR="002618E8" w:rsidRPr="000634A4">
        <w:rPr>
          <w:spacing w:val="-2"/>
          <w:sz w:val="22"/>
          <w:szCs w:val="22"/>
        </w:rPr>
        <w:t>in prepaid expenses and other current assets</w:t>
      </w:r>
      <w:r w:rsidRPr="000634A4">
        <w:rPr>
          <w:spacing w:val="-2"/>
          <w:sz w:val="22"/>
          <w:szCs w:val="22"/>
        </w:rPr>
        <w:t>.</w:t>
      </w:r>
      <w:r w:rsidR="009B1F87" w:rsidRPr="000634A4">
        <w:rPr>
          <w:spacing w:val="-2"/>
          <w:sz w:val="22"/>
          <w:szCs w:val="22"/>
        </w:rPr>
        <w:t xml:space="preserve"> </w:t>
      </w:r>
      <w:r w:rsidRPr="000634A4">
        <w:rPr>
          <w:spacing w:val="-2"/>
          <w:sz w:val="22"/>
          <w:szCs w:val="22"/>
        </w:rPr>
        <w:t>Refer to the Consolidated Statements of Cash Flows for further details.</w:t>
      </w:r>
    </w:p>
    <w:p w14:paraId="58F7792F" w14:textId="77777777" w:rsidR="00C65B50" w:rsidRPr="000634A4" w:rsidRDefault="00C65B50" w:rsidP="00113E25">
      <w:pPr>
        <w:tabs>
          <w:tab w:val="left" w:pos="-720"/>
        </w:tabs>
        <w:suppressAutoHyphens/>
        <w:spacing w:line="240" w:lineRule="atLeast"/>
        <w:ind w:firstLine="720"/>
        <w:jc w:val="both"/>
        <w:rPr>
          <w:spacing w:val="-2"/>
          <w:sz w:val="22"/>
          <w:szCs w:val="22"/>
        </w:rPr>
      </w:pPr>
    </w:p>
    <w:p w14:paraId="33BB0386" w14:textId="0F0E9557" w:rsidR="009F5AAB" w:rsidRPr="000634A4" w:rsidRDefault="00995831" w:rsidP="00AD6E43">
      <w:pPr>
        <w:tabs>
          <w:tab w:val="left" w:pos="-720"/>
        </w:tabs>
        <w:suppressAutoHyphens/>
        <w:spacing w:line="240" w:lineRule="atLeast"/>
        <w:ind w:firstLine="720"/>
        <w:jc w:val="both"/>
        <w:rPr>
          <w:spacing w:val="-2"/>
          <w:sz w:val="22"/>
          <w:szCs w:val="22"/>
        </w:rPr>
      </w:pPr>
      <w:r w:rsidRPr="000634A4">
        <w:rPr>
          <w:spacing w:val="-2"/>
          <w:sz w:val="22"/>
          <w:szCs w:val="22"/>
        </w:rPr>
        <w:t>Cash provided by our operating activities for the year ended December 31, 2021 was $5.1 million and was the result of the net loss of $1.8 million, the effect of</w:t>
      </w:r>
      <w:r w:rsidR="00AD6E43" w:rsidRPr="000634A4">
        <w:rPr>
          <w:spacing w:val="-2"/>
          <w:sz w:val="22"/>
          <w:szCs w:val="22"/>
        </w:rPr>
        <w:t xml:space="preserve"> </w:t>
      </w:r>
      <w:r w:rsidRPr="000634A4">
        <w:rPr>
          <w:spacing w:val="-2"/>
          <w:sz w:val="22"/>
          <w:szCs w:val="22"/>
        </w:rPr>
        <w:t>adjustments for non-cash items of $4.6 million and sources of working capital of $2.3 million.</w:t>
      </w:r>
      <w:r w:rsidR="00AD6E43" w:rsidRPr="000634A4">
        <w:rPr>
          <w:spacing w:val="-2"/>
          <w:sz w:val="22"/>
          <w:szCs w:val="22"/>
        </w:rPr>
        <w:t xml:space="preserve"> Adjustments for non-cash items primarily consisted of $2.9 million for depreciation and amortization, stock-based compensation of $1.8 million, pension cost of $ 0.5 million, offset in part by a gain on loan forgiveness of $0.6 million. Working capital activities primarily consisted of sources from a $4.4 million increase in accounts payable, accrued expenses and other, a $0.7 million increase in accrued salaries, wages and related benefits, a $0.5 million increase in prepaid expenses and other current assets and a $0.3 million increase in other assets, offset by a $1.9 million increase in accounts receivable and $1.7 million decrease in income and other taxes. Refer to the Consolidated Statements of Cash Flows for further details.</w:t>
      </w:r>
    </w:p>
    <w:p w14:paraId="039FD358" w14:textId="77777777" w:rsidR="009F5AAB" w:rsidRPr="000634A4" w:rsidRDefault="009F5AAB" w:rsidP="009F5AAB">
      <w:pPr>
        <w:tabs>
          <w:tab w:val="left" w:pos="-720"/>
        </w:tabs>
        <w:suppressAutoHyphens/>
        <w:spacing w:line="240" w:lineRule="atLeast"/>
        <w:ind w:firstLine="720"/>
        <w:jc w:val="both"/>
        <w:rPr>
          <w:spacing w:val="-2"/>
          <w:sz w:val="22"/>
          <w:szCs w:val="22"/>
        </w:rPr>
      </w:pPr>
    </w:p>
    <w:bookmarkEnd w:id="35"/>
    <w:p w14:paraId="257B8DBE" w14:textId="4E7EF923" w:rsidR="009F5AAB" w:rsidRPr="000634A4" w:rsidRDefault="009F5AAB" w:rsidP="009F5AAB">
      <w:pPr>
        <w:tabs>
          <w:tab w:val="left" w:pos="-720"/>
        </w:tabs>
        <w:suppressAutoHyphens/>
        <w:spacing w:line="240" w:lineRule="atLeast"/>
        <w:jc w:val="both"/>
        <w:rPr>
          <w:rFonts w:eastAsia="Arial Unicode MS"/>
          <w:spacing w:val="-2"/>
          <w:sz w:val="22"/>
          <w:szCs w:val="22"/>
        </w:rPr>
      </w:pPr>
      <w:r w:rsidRPr="000634A4">
        <w:rPr>
          <w:spacing w:val="-2"/>
          <w:sz w:val="22"/>
          <w:szCs w:val="22"/>
        </w:rPr>
        <w:tab/>
        <w:t xml:space="preserve">Our days’ sales </w:t>
      </w:r>
      <w:r w:rsidRPr="000221CD">
        <w:rPr>
          <w:spacing w:val="-2"/>
          <w:sz w:val="22"/>
          <w:szCs w:val="22"/>
        </w:rPr>
        <w:t xml:space="preserve">outstanding were </w:t>
      </w:r>
      <w:r w:rsidR="00A65F49" w:rsidRPr="000221CD">
        <w:rPr>
          <w:spacing w:val="-2"/>
          <w:sz w:val="22"/>
          <w:szCs w:val="22"/>
        </w:rPr>
        <w:t xml:space="preserve">48 </w:t>
      </w:r>
      <w:r w:rsidRPr="000221CD">
        <w:rPr>
          <w:spacing w:val="-2"/>
          <w:sz w:val="22"/>
          <w:szCs w:val="22"/>
        </w:rPr>
        <w:t xml:space="preserve">days and </w:t>
      </w:r>
      <w:r w:rsidR="00017979" w:rsidRPr="000221CD">
        <w:rPr>
          <w:spacing w:val="-2"/>
          <w:sz w:val="22"/>
          <w:szCs w:val="22"/>
        </w:rPr>
        <w:t xml:space="preserve">56 </w:t>
      </w:r>
      <w:r w:rsidRPr="000221CD">
        <w:rPr>
          <w:spacing w:val="-2"/>
          <w:sz w:val="22"/>
          <w:szCs w:val="22"/>
        </w:rPr>
        <w:t xml:space="preserve">days </w:t>
      </w:r>
      <w:r w:rsidR="004943B4" w:rsidRPr="000221CD">
        <w:rPr>
          <w:spacing w:val="-2"/>
          <w:sz w:val="22"/>
          <w:szCs w:val="22"/>
        </w:rPr>
        <w:t xml:space="preserve">for </w:t>
      </w:r>
      <w:r w:rsidR="00671D28" w:rsidRPr="000221CD">
        <w:rPr>
          <w:spacing w:val="-2"/>
          <w:sz w:val="22"/>
          <w:szCs w:val="22"/>
        </w:rPr>
        <w:t xml:space="preserve">the years ended </w:t>
      </w:r>
      <w:r w:rsidRPr="000221CD">
        <w:rPr>
          <w:spacing w:val="-2"/>
          <w:sz w:val="22"/>
          <w:szCs w:val="22"/>
        </w:rPr>
        <w:t xml:space="preserve">December 31, </w:t>
      </w:r>
      <w:r w:rsidR="00017979" w:rsidRPr="000221CD">
        <w:rPr>
          <w:spacing w:val="-2"/>
          <w:sz w:val="22"/>
          <w:szCs w:val="22"/>
        </w:rPr>
        <w:t xml:space="preserve">2022 </w:t>
      </w:r>
      <w:r w:rsidRPr="000221CD">
        <w:rPr>
          <w:spacing w:val="-2"/>
          <w:sz w:val="22"/>
          <w:szCs w:val="22"/>
        </w:rPr>
        <w:t xml:space="preserve">and </w:t>
      </w:r>
      <w:r w:rsidR="00017979" w:rsidRPr="00D204A8">
        <w:rPr>
          <w:spacing w:val="-2"/>
          <w:sz w:val="22"/>
          <w:szCs w:val="22"/>
        </w:rPr>
        <w:t>2021</w:t>
      </w:r>
      <w:r w:rsidRPr="00D204A8">
        <w:rPr>
          <w:spacing w:val="-2"/>
          <w:sz w:val="22"/>
          <w:szCs w:val="22"/>
        </w:rPr>
        <w:t xml:space="preserve">, respectively. We calculate DSO by first dividing the total revenues for the period by average net accounts receivable, which is the </w:t>
      </w:r>
      <w:r w:rsidR="00061A87" w:rsidRPr="00D204A8">
        <w:rPr>
          <w:spacing w:val="-2"/>
          <w:sz w:val="22"/>
          <w:szCs w:val="22"/>
        </w:rPr>
        <w:t>average</w:t>
      </w:r>
      <w:r w:rsidR="00061A87" w:rsidRPr="000221CD">
        <w:rPr>
          <w:spacing w:val="-2"/>
          <w:sz w:val="22"/>
          <w:szCs w:val="22"/>
        </w:rPr>
        <w:t xml:space="preserve"> </w:t>
      </w:r>
      <w:r w:rsidRPr="000221CD">
        <w:rPr>
          <w:spacing w:val="-2"/>
          <w:sz w:val="22"/>
          <w:szCs w:val="22"/>
        </w:rPr>
        <w:t>of net accounts receivable at the beginning of the period and net accounts receivable at the end of the period, to yield</w:t>
      </w:r>
      <w:r w:rsidRPr="000634A4">
        <w:rPr>
          <w:spacing w:val="-2"/>
          <w:sz w:val="22"/>
          <w:szCs w:val="22"/>
        </w:rPr>
        <w:t xml:space="preserve"> an amount we refer to as the “accounts receivable turnover”. Then we divide the total number of days within the period reported by the accounts receivable turnover to yield DSO expressed in number of days.</w:t>
      </w:r>
      <w:r w:rsidRPr="000634A4">
        <w:rPr>
          <w:rFonts w:eastAsia="Arial Unicode MS"/>
          <w:sz w:val="22"/>
          <w:szCs w:val="22"/>
          <w:shd w:val="clear" w:color="auto" w:fill="FFFFFF"/>
        </w:rPr>
        <w:t xml:space="preserve"> </w:t>
      </w:r>
    </w:p>
    <w:p w14:paraId="63F7F5C5" w14:textId="77777777" w:rsidR="00415213" w:rsidRPr="000634A4" w:rsidRDefault="00415213" w:rsidP="009F5AAB">
      <w:pPr>
        <w:tabs>
          <w:tab w:val="left" w:pos="-720"/>
        </w:tabs>
        <w:suppressAutoHyphens/>
        <w:spacing w:line="240" w:lineRule="atLeast"/>
        <w:jc w:val="both"/>
        <w:rPr>
          <w:spacing w:val="-2"/>
          <w:sz w:val="22"/>
          <w:szCs w:val="22"/>
        </w:rPr>
      </w:pPr>
    </w:p>
    <w:p w14:paraId="72329D91" w14:textId="77777777" w:rsidR="009F5AAB" w:rsidRPr="000634A4" w:rsidRDefault="009F5AAB" w:rsidP="009F5AAB">
      <w:pPr>
        <w:tabs>
          <w:tab w:val="left" w:pos="-720"/>
        </w:tabs>
        <w:suppressAutoHyphens/>
        <w:spacing w:line="240" w:lineRule="atLeast"/>
        <w:jc w:val="both"/>
        <w:rPr>
          <w:i/>
          <w:iCs/>
          <w:spacing w:val="-2"/>
          <w:sz w:val="22"/>
          <w:szCs w:val="22"/>
        </w:rPr>
      </w:pPr>
      <w:r w:rsidRPr="000634A4">
        <w:rPr>
          <w:i/>
          <w:iCs/>
          <w:spacing w:val="-2"/>
          <w:sz w:val="22"/>
          <w:szCs w:val="22"/>
        </w:rPr>
        <w:t>Net Cash Used in Investing Activities</w:t>
      </w:r>
    </w:p>
    <w:p w14:paraId="1AD3C8C0" w14:textId="77777777" w:rsidR="009F5AAB" w:rsidRPr="000634A4" w:rsidRDefault="009F5AAB" w:rsidP="009F5AAB">
      <w:pPr>
        <w:tabs>
          <w:tab w:val="left" w:pos="-720"/>
        </w:tabs>
        <w:suppressAutoHyphens/>
        <w:spacing w:line="240" w:lineRule="atLeast"/>
        <w:jc w:val="both"/>
        <w:rPr>
          <w:i/>
          <w:iCs/>
          <w:spacing w:val="-2"/>
          <w:sz w:val="22"/>
          <w:szCs w:val="22"/>
        </w:rPr>
      </w:pPr>
    </w:p>
    <w:p w14:paraId="49C93801" w14:textId="2CB098BB" w:rsidR="009F5AAB" w:rsidRPr="000634A4" w:rsidRDefault="009F5AAB" w:rsidP="009B345D">
      <w:pPr>
        <w:autoSpaceDE w:val="0"/>
        <w:autoSpaceDN w:val="0"/>
        <w:adjustRightInd w:val="0"/>
        <w:ind w:firstLine="720"/>
        <w:jc w:val="both"/>
        <w:rPr>
          <w:spacing w:val="-2"/>
          <w:sz w:val="22"/>
          <w:szCs w:val="22"/>
        </w:rPr>
      </w:pPr>
      <w:r w:rsidRPr="000634A4">
        <w:rPr>
          <w:spacing w:val="-2"/>
          <w:sz w:val="22"/>
          <w:szCs w:val="22"/>
        </w:rPr>
        <w:t xml:space="preserve">Cash used in our investing activities </w:t>
      </w:r>
      <w:r w:rsidR="0076338C" w:rsidRPr="000634A4">
        <w:rPr>
          <w:spacing w:val="-2"/>
          <w:sz w:val="22"/>
          <w:szCs w:val="22"/>
        </w:rPr>
        <w:t xml:space="preserve">for the year ended December 31, 2022 </w:t>
      </w:r>
      <w:r w:rsidRPr="000634A4">
        <w:rPr>
          <w:spacing w:val="-2"/>
          <w:sz w:val="22"/>
          <w:szCs w:val="22"/>
        </w:rPr>
        <w:t>was $</w:t>
      </w:r>
      <w:r w:rsidR="00197660" w:rsidRPr="000634A4">
        <w:rPr>
          <w:spacing w:val="-2"/>
          <w:sz w:val="22"/>
          <w:szCs w:val="22"/>
        </w:rPr>
        <w:t xml:space="preserve">7.0 </w:t>
      </w:r>
      <w:r w:rsidRPr="000634A4">
        <w:rPr>
          <w:spacing w:val="-2"/>
          <w:sz w:val="22"/>
          <w:szCs w:val="22"/>
        </w:rPr>
        <w:t xml:space="preserve">million </w:t>
      </w:r>
      <w:r w:rsidR="0076338C" w:rsidRPr="000634A4">
        <w:rPr>
          <w:spacing w:val="-2"/>
          <w:sz w:val="22"/>
          <w:szCs w:val="22"/>
        </w:rPr>
        <w:t>consist</w:t>
      </w:r>
      <w:r w:rsidR="00515861" w:rsidRPr="000634A4">
        <w:rPr>
          <w:spacing w:val="-2"/>
          <w:sz w:val="22"/>
          <w:szCs w:val="22"/>
        </w:rPr>
        <w:t>ing of</w:t>
      </w:r>
      <w:r w:rsidR="009C1DBD" w:rsidRPr="000634A4">
        <w:rPr>
          <w:spacing w:val="-2"/>
          <w:sz w:val="22"/>
          <w:szCs w:val="22"/>
        </w:rPr>
        <w:t xml:space="preserve"> capital expenditures of $6.5 million and </w:t>
      </w:r>
      <w:r w:rsidR="0034154D" w:rsidRPr="000634A4">
        <w:rPr>
          <w:spacing w:val="-2"/>
          <w:sz w:val="22"/>
          <w:szCs w:val="22"/>
        </w:rPr>
        <w:t xml:space="preserve">the </w:t>
      </w:r>
      <w:r w:rsidR="00017AFC" w:rsidRPr="000634A4">
        <w:rPr>
          <w:spacing w:val="-2"/>
          <w:sz w:val="22"/>
          <w:szCs w:val="22"/>
        </w:rPr>
        <w:t xml:space="preserve">purchase of </w:t>
      </w:r>
      <w:r w:rsidR="001313F8" w:rsidRPr="000634A4">
        <w:rPr>
          <w:spacing w:val="-2"/>
          <w:sz w:val="22"/>
          <w:szCs w:val="22"/>
        </w:rPr>
        <w:t>short-term</w:t>
      </w:r>
      <w:r w:rsidR="009C1DBD" w:rsidRPr="000634A4">
        <w:rPr>
          <w:spacing w:val="-2"/>
          <w:sz w:val="22"/>
          <w:szCs w:val="22"/>
        </w:rPr>
        <w:t xml:space="preserve"> investments of $0.5 million</w:t>
      </w:r>
      <w:r w:rsidRPr="000634A4">
        <w:rPr>
          <w:spacing w:val="-2"/>
          <w:sz w:val="22"/>
          <w:szCs w:val="22"/>
        </w:rPr>
        <w:t xml:space="preserve">. These capital expenditures were principally for the purchase of technology equipment including servers, network infrastructure and workstations, and expenditures for </w:t>
      </w:r>
      <w:r w:rsidR="00A04655" w:rsidRPr="000634A4">
        <w:rPr>
          <w:spacing w:val="-2"/>
          <w:sz w:val="22"/>
          <w:szCs w:val="22"/>
        </w:rPr>
        <w:t>capitalized</w:t>
      </w:r>
      <w:r w:rsidRPr="000634A4">
        <w:rPr>
          <w:spacing w:val="-2"/>
          <w:sz w:val="22"/>
          <w:szCs w:val="22"/>
        </w:rPr>
        <w:t xml:space="preserve"> developed software. Capital expenditures for the year ended December 31, </w:t>
      </w:r>
      <w:r w:rsidR="00776A83" w:rsidRPr="000634A4">
        <w:rPr>
          <w:spacing w:val="-2"/>
          <w:sz w:val="22"/>
          <w:szCs w:val="22"/>
        </w:rPr>
        <w:t xml:space="preserve">2022 </w:t>
      </w:r>
      <w:r w:rsidRPr="000634A4">
        <w:rPr>
          <w:spacing w:val="-2"/>
          <w:sz w:val="22"/>
          <w:szCs w:val="22"/>
        </w:rPr>
        <w:t>amounting to $</w:t>
      </w:r>
      <w:r w:rsidR="00EF4F1D" w:rsidRPr="000634A4">
        <w:rPr>
          <w:spacing w:val="-2"/>
          <w:sz w:val="22"/>
          <w:szCs w:val="22"/>
        </w:rPr>
        <w:t>6.5</w:t>
      </w:r>
      <w:r w:rsidR="00D07359" w:rsidRPr="000634A4">
        <w:rPr>
          <w:spacing w:val="-2"/>
          <w:sz w:val="22"/>
          <w:szCs w:val="22"/>
        </w:rPr>
        <w:t xml:space="preserve"> </w:t>
      </w:r>
      <w:r w:rsidRPr="000634A4">
        <w:rPr>
          <w:spacing w:val="-2"/>
          <w:sz w:val="22"/>
          <w:szCs w:val="22"/>
        </w:rPr>
        <w:t>million consisted of</w:t>
      </w:r>
      <w:r w:rsidR="0075584D" w:rsidRPr="000634A4">
        <w:rPr>
          <w:spacing w:val="-2"/>
          <w:sz w:val="22"/>
          <w:szCs w:val="22"/>
        </w:rPr>
        <w:t xml:space="preserve"> $</w:t>
      </w:r>
      <w:r w:rsidR="006B6873" w:rsidRPr="000634A4">
        <w:rPr>
          <w:spacing w:val="-2"/>
          <w:sz w:val="22"/>
          <w:szCs w:val="22"/>
        </w:rPr>
        <w:t>2.</w:t>
      </w:r>
      <w:r w:rsidR="00FD1877" w:rsidRPr="000634A4">
        <w:rPr>
          <w:spacing w:val="-2"/>
          <w:sz w:val="22"/>
          <w:szCs w:val="22"/>
        </w:rPr>
        <w:t>0</w:t>
      </w:r>
      <w:r w:rsidR="006B6873" w:rsidRPr="000634A4">
        <w:rPr>
          <w:spacing w:val="-2"/>
          <w:sz w:val="22"/>
          <w:szCs w:val="22"/>
        </w:rPr>
        <w:t xml:space="preserve"> </w:t>
      </w:r>
      <w:r w:rsidR="0075584D" w:rsidRPr="000634A4">
        <w:rPr>
          <w:spacing w:val="-2"/>
          <w:sz w:val="22"/>
          <w:szCs w:val="22"/>
        </w:rPr>
        <w:t>million for the Agility segment,</w:t>
      </w:r>
      <w:r w:rsidRPr="000634A4">
        <w:rPr>
          <w:spacing w:val="-2"/>
          <w:sz w:val="22"/>
          <w:szCs w:val="22"/>
        </w:rPr>
        <w:t xml:space="preserve"> $</w:t>
      </w:r>
      <w:r w:rsidR="006B6873" w:rsidRPr="000634A4">
        <w:rPr>
          <w:spacing w:val="-2"/>
          <w:sz w:val="22"/>
          <w:szCs w:val="22"/>
        </w:rPr>
        <w:t>3.</w:t>
      </w:r>
      <w:r w:rsidR="00FD1877" w:rsidRPr="000634A4">
        <w:rPr>
          <w:spacing w:val="-2"/>
          <w:sz w:val="22"/>
          <w:szCs w:val="22"/>
        </w:rPr>
        <w:t>1</w:t>
      </w:r>
      <w:r w:rsidR="006B6873" w:rsidRPr="000634A4">
        <w:rPr>
          <w:spacing w:val="-2"/>
          <w:sz w:val="22"/>
          <w:szCs w:val="22"/>
        </w:rPr>
        <w:t xml:space="preserve"> </w:t>
      </w:r>
      <w:r w:rsidRPr="000634A4">
        <w:rPr>
          <w:spacing w:val="-2"/>
          <w:sz w:val="22"/>
          <w:szCs w:val="22"/>
        </w:rPr>
        <w:t>million for the DDS segment and $</w:t>
      </w:r>
      <w:r w:rsidR="006B6873" w:rsidRPr="000634A4">
        <w:rPr>
          <w:spacing w:val="-2"/>
          <w:sz w:val="22"/>
          <w:szCs w:val="22"/>
        </w:rPr>
        <w:t>1.</w:t>
      </w:r>
      <w:r w:rsidR="00FD1877" w:rsidRPr="000634A4">
        <w:rPr>
          <w:spacing w:val="-2"/>
          <w:sz w:val="22"/>
          <w:szCs w:val="22"/>
        </w:rPr>
        <w:t>4</w:t>
      </w:r>
      <w:r w:rsidR="0075584D" w:rsidRPr="000634A4">
        <w:rPr>
          <w:spacing w:val="-2"/>
          <w:sz w:val="22"/>
          <w:szCs w:val="22"/>
        </w:rPr>
        <w:t xml:space="preserve"> </w:t>
      </w:r>
      <w:r w:rsidRPr="000634A4">
        <w:rPr>
          <w:spacing w:val="-2"/>
          <w:sz w:val="22"/>
          <w:szCs w:val="22"/>
        </w:rPr>
        <w:t xml:space="preserve">million for the </w:t>
      </w:r>
      <w:r w:rsidR="0075584D" w:rsidRPr="000634A4">
        <w:rPr>
          <w:spacing w:val="-2"/>
          <w:sz w:val="22"/>
          <w:szCs w:val="22"/>
        </w:rPr>
        <w:t xml:space="preserve">Synodex </w:t>
      </w:r>
      <w:r w:rsidRPr="000634A4">
        <w:rPr>
          <w:spacing w:val="-2"/>
          <w:sz w:val="22"/>
          <w:szCs w:val="22"/>
        </w:rPr>
        <w:t>segment.</w:t>
      </w:r>
      <w:r w:rsidR="00A55978" w:rsidRPr="000634A4">
        <w:rPr>
          <w:spacing w:val="-2"/>
          <w:sz w:val="22"/>
          <w:szCs w:val="22"/>
        </w:rPr>
        <w:t xml:space="preserve"> </w:t>
      </w:r>
    </w:p>
    <w:p w14:paraId="4776586D" w14:textId="77777777" w:rsidR="009F5AAB" w:rsidRPr="000634A4" w:rsidRDefault="009F5AAB" w:rsidP="009F5AAB">
      <w:pPr>
        <w:tabs>
          <w:tab w:val="left" w:pos="-720"/>
        </w:tabs>
        <w:suppressAutoHyphens/>
        <w:spacing w:line="240" w:lineRule="atLeast"/>
        <w:jc w:val="both"/>
        <w:rPr>
          <w:iCs/>
          <w:spacing w:val="-2"/>
          <w:sz w:val="22"/>
          <w:szCs w:val="22"/>
        </w:rPr>
      </w:pPr>
    </w:p>
    <w:p w14:paraId="5B7402DA" w14:textId="318A22C5" w:rsidR="0076338C" w:rsidRPr="000634A4" w:rsidRDefault="0076338C" w:rsidP="0076338C">
      <w:pPr>
        <w:autoSpaceDE w:val="0"/>
        <w:autoSpaceDN w:val="0"/>
        <w:adjustRightInd w:val="0"/>
        <w:ind w:firstLine="720"/>
        <w:jc w:val="both"/>
        <w:rPr>
          <w:spacing w:val="-2"/>
          <w:sz w:val="22"/>
          <w:szCs w:val="22"/>
        </w:rPr>
      </w:pPr>
      <w:r w:rsidRPr="000634A4">
        <w:rPr>
          <w:spacing w:val="-2"/>
          <w:sz w:val="22"/>
          <w:szCs w:val="22"/>
        </w:rPr>
        <w:t>Cash used in our investing activities for the year ended December 31, 202</w:t>
      </w:r>
      <w:r w:rsidR="00515861" w:rsidRPr="000634A4">
        <w:rPr>
          <w:spacing w:val="-2"/>
          <w:sz w:val="22"/>
          <w:szCs w:val="22"/>
        </w:rPr>
        <w:t>1</w:t>
      </w:r>
      <w:r w:rsidRPr="000634A4">
        <w:rPr>
          <w:spacing w:val="-2"/>
          <w:sz w:val="22"/>
          <w:szCs w:val="22"/>
        </w:rPr>
        <w:t xml:space="preserve"> </w:t>
      </w:r>
      <w:r w:rsidR="00B147CE" w:rsidRPr="000634A4">
        <w:rPr>
          <w:spacing w:val="-2"/>
          <w:sz w:val="22"/>
          <w:szCs w:val="22"/>
        </w:rPr>
        <w:t>was</w:t>
      </w:r>
      <w:r w:rsidRPr="000634A4">
        <w:rPr>
          <w:spacing w:val="-2"/>
          <w:sz w:val="22"/>
          <w:szCs w:val="22"/>
        </w:rPr>
        <w:t xml:space="preserve"> $4.4 million </w:t>
      </w:r>
      <w:r w:rsidR="00C00788" w:rsidRPr="000634A4">
        <w:rPr>
          <w:spacing w:val="-2"/>
          <w:sz w:val="22"/>
          <w:szCs w:val="22"/>
        </w:rPr>
        <w:t xml:space="preserve">for </w:t>
      </w:r>
      <w:r w:rsidRPr="000634A4">
        <w:rPr>
          <w:spacing w:val="-2"/>
          <w:sz w:val="22"/>
          <w:szCs w:val="22"/>
        </w:rPr>
        <w:t>capital expenditures</w:t>
      </w:r>
      <w:r w:rsidR="00733FAC" w:rsidRPr="000634A4">
        <w:rPr>
          <w:spacing w:val="-2"/>
          <w:sz w:val="22"/>
          <w:szCs w:val="22"/>
        </w:rPr>
        <w:t>.</w:t>
      </w:r>
      <w:r w:rsidRPr="000634A4">
        <w:rPr>
          <w:spacing w:val="-2"/>
          <w:sz w:val="22"/>
          <w:szCs w:val="22"/>
        </w:rPr>
        <w:t xml:space="preserve"> </w:t>
      </w:r>
      <w:r w:rsidR="00C00788" w:rsidRPr="000634A4">
        <w:rPr>
          <w:spacing w:val="-2"/>
          <w:sz w:val="22"/>
          <w:szCs w:val="22"/>
        </w:rPr>
        <w:t>These capital expenditures were principally for the purchase of technology equipment including servers, network infrastructure and workstations, and expenditures for capitalized developed software.</w:t>
      </w:r>
      <w:r w:rsidR="004F7427" w:rsidRPr="000634A4">
        <w:rPr>
          <w:spacing w:val="-2"/>
          <w:sz w:val="22"/>
          <w:szCs w:val="22"/>
        </w:rPr>
        <w:t xml:space="preserve"> </w:t>
      </w:r>
      <w:r w:rsidR="00F2295A" w:rsidRPr="000634A4">
        <w:rPr>
          <w:spacing w:val="-2"/>
          <w:sz w:val="22"/>
          <w:szCs w:val="22"/>
        </w:rPr>
        <w:t>Capi</w:t>
      </w:r>
      <w:r w:rsidR="004F7427" w:rsidRPr="000634A4">
        <w:rPr>
          <w:spacing w:val="-2"/>
          <w:sz w:val="22"/>
          <w:szCs w:val="22"/>
        </w:rPr>
        <w:t>tal</w:t>
      </w:r>
      <w:r w:rsidR="00F2295A" w:rsidRPr="000634A4">
        <w:rPr>
          <w:spacing w:val="-2"/>
          <w:sz w:val="22"/>
          <w:szCs w:val="22"/>
        </w:rPr>
        <w:t xml:space="preserve"> expenditures </w:t>
      </w:r>
      <w:r w:rsidR="004F7427" w:rsidRPr="000634A4">
        <w:rPr>
          <w:spacing w:val="-2"/>
          <w:sz w:val="22"/>
          <w:szCs w:val="22"/>
        </w:rPr>
        <w:t>f</w:t>
      </w:r>
      <w:r w:rsidR="00E623E7" w:rsidRPr="000634A4">
        <w:rPr>
          <w:spacing w:val="-2"/>
          <w:sz w:val="22"/>
          <w:szCs w:val="22"/>
        </w:rPr>
        <w:t>or the year ended December 31, 2021</w:t>
      </w:r>
      <w:r w:rsidR="00321308" w:rsidRPr="000634A4">
        <w:rPr>
          <w:spacing w:val="-2"/>
          <w:sz w:val="22"/>
          <w:szCs w:val="22"/>
        </w:rPr>
        <w:t xml:space="preserve"> were </w:t>
      </w:r>
      <w:r w:rsidRPr="000634A4">
        <w:rPr>
          <w:spacing w:val="-2"/>
          <w:sz w:val="22"/>
          <w:szCs w:val="22"/>
        </w:rPr>
        <w:t>$2.</w:t>
      </w:r>
      <w:r w:rsidR="00047FE0" w:rsidRPr="000634A4">
        <w:rPr>
          <w:spacing w:val="-2"/>
          <w:sz w:val="22"/>
          <w:szCs w:val="22"/>
        </w:rPr>
        <w:t>1</w:t>
      </w:r>
      <w:r w:rsidRPr="000634A4">
        <w:rPr>
          <w:spacing w:val="-2"/>
          <w:sz w:val="22"/>
          <w:szCs w:val="22"/>
        </w:rPr>
        <w:t xml:space="preserve"> million for the Agility segment, $</w:t>
      </w:r>
      <w:r w:rsidR="00047FE0" w:rsidRPr="000634A4">
        <w:rPr>
          <w:spacing w:val="-2"/>
          <w:sz w:val="22"/>
          <w:szCs w:val="22"/>
        </w:rPr>
        <w:t>1.7</w:t>
      </w:r>
      <w:r w:rsidRPr="000634A4">
        <w:rPr>
          <w:spacing w:val="-2"/>
          <w:sz w:val="22"/>
          <w:szCs w:val="22"/>
        </w:rPr>
        <w:t xml:space="preserve"> million for the DDS segment and $</w:t>
      </w:r>
      <w:r w:rsidR="00BF6061" w:rsidRPr="000634A4">
        <w:rPr>
          <w:spacing w:val="-2"/>
          <w:sz w:val="22"/>
          <w:szCs w:val="22"/>
        </w:rPr>
        <w:t>0.6</w:t>
      </w:r>
      <w:r w:rsidRPr="000634A4">
        <w:rPr>
          <w:spacing w:val="-2"/>
          <w:sz w:val="22"/>
          <w:szCs w:val="22"/>
        </w:rPr>
        <w:t xml:space="preserve"> million for the Synodex segment. </w:t>
      </w:r>
    </w:p>
    <w:p w14:paraId="25CD13A8" w14:textId="77777777" w:rsidR="0076338C" w:rsidRPr="000634A4" w:rsidRDefault="0076338C" w:rsidP="009F5AAB">
      <w:pPr>
        <w:tabs>
          <w:tab w:val="left" w:pos="-720"/>
        </w:tabs>
        <w:suppressAutoHyphens/>
        <w:spacing w:line="240" w:lineRule="atLeast"/>
        <w:jc w:val="both"/>
        <w:rPr>
          <w:iCs/>
          <w:spacing w:val="-2"/>
          <w:sz w:val="22"/>
          <w:szCs w:val="22"/>
        </w:rPr>
      </w:pPr>
    </w:p>
    <w:p w14:paraId="222B342D" w14:textId="21ECDAD3" w:rsidR="009F5AAB" w:rsidRPr="000634A4" w:rsidRDefault="009F5AAB" w:rsidP="009F5AAB">
      <w:pPr>
        <w:ind w:firstLine="720"/>
        <w:jc w:val="both"/>
        <w:rPr>
          <w:spacing w:val="-2"/>
          <w:sz w:val="22"/>
          <w:szCs w:val="22"/>
        </w:rPr>
      </w:pPr>
      <w:r w:rsidRPr="000634A4">
        <w:rPr>
          <w:spacing w:val="-2"/>
          <w:sz w:val="22"/>
          <w:szCs w:val="22"/>
        </w:rPr>
        <w:lastRenderedPageBreak/>
        <w:t>Fo</w:t>
      </w:r>
      <w:r w:rsidR="00F0141E" w:rsidRPr="000634A4">
        <w:rPr>
          <w:spacing w:val="-2"/>
          <w:sz w:val="22"/>
          <w:szCs w:val="22"/>
        </w:rPr>
        <w:t xml:space="preserve">r </w:t>
      </w:r>
      <w:r w:rsidR="004B5C72" w:rsidRPr="000634A4">
        <w:rPr>
          <w:spacing w:val="-2"/>
          <w:sz w:val="22"/>
          <w:szCs w:val="22"/>
        </w:rPr>
        <w:t xml:space="preserve">calendar year </w:t>
      </w:r>
      <w:r w:rsidR="00776A83" w:rsidRPr="000634A4">
        <w:rPr>
          <w:spacing w:val="-2"/>
          <w:sz w:val="22"/>
          <w:szCs w:val="22"/>
        </w:rPr>
        <w:t>2023</w:t>
      </w:r>
      <w:r w:rsidRPr="000634A4">
        <w:rPr>
          <w:spacing w:val="-2"/>
          <w:sz w:val="22"/>
          <w:szCs w:val="22"/>
        </w:rPr>
        <w:t>, we anticipate that capital expenditures for ongoing technology, equipment</w:t>
      </w:r>
      <w:r w:rsidR="009A6501" w:rsidRPr="000634A4">
        <w:rPr>
          <w:spacing w:val="-2"/>
          <w:sz w:val="22"/>
          <w:szCs w:val="22"/>
        </w:rPr>
        <w:t>, new platform development,</w:t>
      </w:r>
      <w:r w:rsidRPr="000634A4">
        <w:rPr>
          <w:spacing w:val="-2"/>
          <w:sz w:val="22"/>
          <w:szCs w:val="22"/>
        </w:rPr>
        <w:t xml:space="preserve"> and infrastructure upgrades will approximate to $</w:t>
      </w:r>
      <w:r w:rsidR="00147B56" w:rsidRPr="000634A4">
        <w:rPr>
          <w:spacing w:val="-2"/>
          <w:sz w:val="22"/>
          <w:szCs w:val="22"/>
        </w:rPr>
        <w:t xml:space="preserve">6.0 </w:t>
      </w:r>
      <w:r w:rsidRPr="000634A4">
        <w:rPr>
          <w:spacing w:val="-2"/>
          <w:sz w:val="22"/>
          <w:szCs w:val="22"/>
        </w:rPr>
        <w:t>million, a portion of which we may finance.</w:t>
      </w:r>
    </w:p>
    <w:p w14:paraId="5AE01D7F" w14:textId="1000AE72" w:rsidR="007802FD" w:rsidRPr="000634A4" w:rsidRDefault="007802FD" w:rsidP="009F5AAB">
      <w:pPr>
        <w:tabs>
          <w:tab w:val="left" w:pos="-720"/>
        </w:tabs>
        <w:suppressAutoHyphens/>
        <w:spacing w:line="240" w:lineRule="atLeast"/>
        <w:jc w:val="both"/>
        <w:rPr>
          <w:sz w:val="22"/>
          <w:szCs w:val="22"/>
        </w:rPr>
      </w:pPr>
    </w:p>
    <w:p w14:paraId="5D268539" w14:textId="77777777" w:rsidR="009F5AAB" w:rsidRPr="000634A4" w:rsidRDefault="009F5AAB" w:rsidP="009F5AAB">
      <w:pPr>
        <w:tabs>
          <w:tab w:val="left" w:pos="-720"/>
        </w:tabs>
        <w:suppressAutoHyphens/>
        <w:spacing w:line="240" w:lineRule="atLeast"/>
        <w:jc w:val="both"/>
        <w:rPr>
          <w:i/>
          <w:iCs/>
          <w:spacing w:val="-2"/>
          <w:sz w:val="22"/>
          <w:szCs w:val="22"/>
        </w:rPr>
      </w:pPr>
      <w:r w:rsidRPr="000634A4">
        <w:rPr>
          <w:i/>
          <w:iCs/>
          <w:spacing w:val="-2"/>
          <w:sz w:val="22"/>
          <w:szCs w:val="22"/>
        </w:rPr>
        <w:t>Net Cash Used in Financing Activities</w:t>
      </w:r>
    </w:p>
    <w:p w14:paraId="29D1C356" w14:textId="77777777" w:rsidR="009F5AAB" w:rsidRPr="000634A4" w:rsidRDefault="009F5AAB" w:rsidP="009F5AAB">
      <w:pPr>
        <w:tabs>
          <w:tab w:val="left" w:pos="-720"/>
        </w:tabs>
        <w:suppressAutoHyphens/>
        <w:spacing w:line="240" w:lineRule="atLeast"/>
        <w:jc w:val="both"/>
        <w:outlineLvl w:val="0"/>
        <w:rPr>
          <w:spacing w:val="-2"/>
          <w:sz w:val="22"/>
          <w:szCs w:val="22"/>
        </w:rPr>
      </w:pPr>
    </w:p>
    <w:p w14:paraId="5111412B" w14:textId="16938A80" w:rsidR="00010CE6" w:rsidRPr="000634A4" w:rsidRDefault="00010CE6" w:rsidP="009F5AAB">
      <w:pPr>
        <w:ind w:firstLine="720"/>
        <w:jc w:val="both"/>
        <w:rPr>
          <w:spacing w:val="-2"/>
          <w:sz w:val="22"/>
          <w:szCs w:val="22"/>
        </w:rPr>
      </w:pPr>
      <w:r w:rsidRPr="000634A4">
        <w:rPr>
          <w:spacing w:val="-2"/>
          <w:sz w:val="22"/>
          <w:szCs w:val="22"/>
        </w:rPr>
        <w:t xml:space="preserve">Cash </w:t>
      </w:r>
      <w:r w:rsidR="00A82673" w:rsidRPr="000634A4">
        <w:rPr>
          <w:spacing w:val="-2"/>
          <w:sz w:val="22"/>
          <w:szCs w:val="22"/>
        </w:rPr>
        <w:t>used in</w:t>
      </w:r>
      <w:r w:rsidRPr="000634A4">
        <w:rPr>
          <w:spacing w:val="-2"/>
          <w:sz w:val="22"/>
          <w:szCs w:val="22"/>
        </w:rPr>
        <w:t xml:space="preserve"> financing activities for the year ended December 31, </w:t>
      </w:r>
      <w:r w:rsidR="00776A83" w:rsidRPr="000634A4">
        <w:rPr>
          <w:spacing w:val="-2"/>
          <w:sz w:val="22"/>
          <w:szCs w:val="22"/>
        </w:rPr>
        <w:t xml:space="preserve">2022 </w:t>
      </w:r>
      <w:r w:rsidRPr="000634A4">
        <w:rPr>
          <w:spacing w:val="-2"/>
          <w:sz w:val="22"/>
          <w:szCs w:val="22"/>
        </w:rPr>
        <w:t xml:space="preserve">was </w:t>
      </w:r>
      <w:r w:rsidR="00C74182" w:rsidRPr="000634A4">
        <w:rPr>
          <w:spacing w:val="-2"/>
          <w:sz w:val="22"/>
          <w:szCs w:val="22"/>
        </w:rPr>
        <w:t>primarily for payment</w:t>
      </w:r>
      <w:r w:rsidR="00251213" w:rsidRPr="000634A4">
        <w:rPr>
          <w:spacing w:val="-2"/>
          <w:sz w:val="22"/>
          <w:szCs w:val="22"/>
        </w:rPr>
        <w:t>s</w:t>
      </w:r>
      <w:r w:rsidR="00C74182" w:rsidRPr="000634A4">
        <w:rPr>
          <w:spacing w:val="-2"/>
          <w:sz w:val="22"/>
          <w:szCs w:val="22"/>
        </w:rPr>
        <w:t xml:space="preserve"> of </w:t>
      </w:r>
      <w:r w:rsidR="00635BFE" w:rsidRPr="000634A4">
        <w:rPr>
          <w:spacing w:val="-2"/>
          <w:sz w:val="22"/>
          <w:szCs w:val="22"/>
        </w:rPr>
        <w:t>long-term</w:t>
      </w:r>
      <w:r w:rsidR="00C74182" w:rsidRPr="000634A4">
        <w:rPr>
          <w:spacing w:val="-2"/>
          <w:sz w:val="22"/>
          <w:szCs w:val="22"/>
        </w:rPr>
        <w:t xml:space="preserve"> obligation</w:t>
      </w:r>
      <w:r w:rsidR="00251213" w:rsidRPr="000634A4">
        <w:rPr>
          <w:spacing w:val="-2"/>
          <w:sz w:val="22"/>
          <w:szCs w:val="22"/>
        </w:rPr>
        <w:t xml:space="preserve"> of $0.6 million, </w:t>
      </w:r>
      <w:r w:rsidR="00AF1DC1" w:rsidRPr="000634A4">
        <w:rPr>
          <w:spacing w:val="-2"/>
          <w:sz w:val="22"/>
          <w:szCs w:val="22"/>
        </w:rPr>
        <w:t xml:space="preserve">reduced </w:t>
      </w:r>
      <w:r w:rsidR="00251213" w:rsidRPr="000634A4">
        <w:rPr>
          <w:spacing w:val="-2"/>
          <w:sz w:val="22"/>
          <w:szCs w:val="22"/>
        </w:rPr>
        <w:t xml:space="preserve">in part by </w:t>
      </w:r>
      <w:r w:rsidRPr="000634A4">
        <w:rPr>
          <w:spacing w:val="-2"/>
          <w:sz w:val="22"/>
          <w:szCs w:val="22"/>
        </w:rPr>
        <w:t>proceeds from stock option exercises of $</w:t>
      </w:r>
      <w:r w:rsidR="00A82673" w:rsidRPr="000634A4">
        <w:rPr>
          <w:spacing w:val="-2"/>
          <w:sz w:val="22"/>
          <w:szCs w:val="22"/>
        </w:rPr>
        <w:t xml:space="preserve">0.3 </w:t>
      </w:r>
      <w:r w:rsidRPr="000634A4">
        <w:rPr>
          <w:spacing w:val="-2"/>
          <w:sz w:val="22"/>
          <w:szCs w:val="22"/>
        </w:rPr>
        <w:t>million</w:t>
      </w:r>
      <w:r w:rsidR="00AF1DC1" w:rsidRPr="000634A4">
        <w:rPr>
          <w:spacing w:val="-2"/>
          <w:sz w:val="22"/>
          <w:szCs w:val="22"/>
        </w:rPr>
        <w:t>.</w:t>
      </w:r>
    </w:p>
    <w:p w14:paraId="09B765F2" w14:textId="77777777" w:rsidR="00010CE6" w:rsidRPr="000634A4" w:rsidRDefault="00010CE6" w:rsidP="009F5AAB">
      <w:pPr>
        <w:ind w:firstLine="720"/>
        <w:jc w:val="both"/>
        <w:rPr>
          <w:spacing w:val="-2"/>
          <w:sz w:val="22"/>
          <w:szCs w:val="22"/>
        </w:rPr>
      </w:pPr>
    </w:p>
    <w:p w14:paraId="509B2FBE" w14:textId="77777777" w:rsidR="00776A83" w:rsidRPr="000634A4" w:rsidRDefault="00776A83" w:rsidP="00776A83">
      <w:pPr>
        <w:ind w:firstLine="720"/>
        <w:jc w:val="both"/>
        <w:rPr>
          <w:spacing w:val="-2"/>
          <w:sz w:val="22"/>
          <w:szCs w:val="22"/>
        </w:rPr>
      </w:pPr>
      <w:r w:rsidRPr="000634A4">
        <w:rPr>
          <w:spacing w:val="-2"/>
          <w:sz w:val="22"/>
          <w:szCs w:val="22"/>
        </w:rPr>
        <w:t xml:space="preserve">Cash provided by financing activities for the year ended December 31, 2021 was proceeds from stock option exercises of $2.2 million. </w:t>
      </w:r>
      <w:r w:rsidRPr="000634A4">
        <w:rPr>
          <w:sz w:val="22"/>
          <w:szCs w:val="22"/>
        </w:rPr>
        <w:t xml:space="preserve">Cash paid for withholding taxes on net settlement exercises of stock options for the year ended December 31, 2021 was $0.8 million. </w:t>
      </w:r>
      <w:r w:rsidRPr="000634A4">
        <w:rPr>
          <w:spacing w:val="-2"/>
          <w:sz w:val="22"/>
          <w:szCs w:val="22"/>
        </w:rPr>
        <w:t>Payments of long-term obligations were $0.7 million for the year ended December 31, 2021.</w:t>
      </w:r>
    </w:p>
    <w:p w14:paraId="0C031413" w14:textId="4376307E" w:rsidR="00A81DCD" w:rsidRPr="000634A4" w:rsidRDefault="009F5AAB" w:rsidP="00501AD3">
      <w:pPr>
        <w:ind w:firstLine="720"/>
        <w:jc w:val="both"/>
        <w:rPr>
          <w:spacing w:val="-2"/>
          <w:sz w:val="22"/>
          <w:szCs w:val="22"/>
        </w:rPr>
      </w:pPr>
      <w:r w:rsidRPr="000634A4">
        <w:rPr>
          <w:spacing w:val="-2"/>
          <w:sz w:val="22"/>
          <w:szCs w:val="22"/>
        </w:rPr>
        <w:t xml:space="preserve"> </w:t>
      </w:r>
      <w:r w:rsidR="00A81DCD" w:rsidRPr="000634A4">
        <w:rPr>
          <w:spacing w:val="-2"/>
          <w:sz w:val="22"/>
          <w:szCs w:val="22"/>
        </w:rPr>
        <w:t xml:space="preserve"> </w:t>
      </w:r>
    </w:p>
    <w:p w14:paraId="6D25C297" w14:textId="77777777" w:rsidR="00D238F8" w:rsidRPr="000634A4" w:rsidRDefault="00D238F8" w:rsidP="00A752C2">
      <w:pPr>
        <w:tabs>
          <w:tab w:val="left" w:pos="-720"/>
        </w:tabs>
        <w:suppressAutoHyphens/>
        <w:spacing w:line="240" w:lineRule="atLeast"/>
        <w:jc w:val="both"/>
        <w:rPr>
          <w:spacing w:val="-2"/>
          <w:sz w:val="22"/>
          <w:szCs w:val="22"/>
        </w:rPr>
      </w:pPr>
      <w:r w:rsidRPr="000634A4">
        <w:rPr>
          <w:b/>
          <w:bCs/>
          <w:spacing w:val="-2"/>
          <w:sz w:val="22"/>
          <w:szCs w:val="22"/>
        </w:rPr>
        <w:t>Inflation, Seasonality and Prevailing Economic Conditions</w:t>
      </w:r>
    </w:p>
    <w:p w14:paraId="5CA702B4" w14:textId="77777777" w:rsidR="00D238F8" w:rsidRPr="000634A4" w:rsidRDefault="00D238F8" w:rsidP="00A81DCD">
      <w:pPr>
        <w:tabs>
          <w:tab w:val="left" w:pos="-720"/>
        </w:tabs>
        <w:suppressAutoHyphens/>
        <w:spacing w:line="240" w:lineRule="atLeast"/>
        <w:ind w:firstLine="720"/>
        <w:jc w:val="both"/>
        <w:rPr>
          <w:spacing w:val="-2"/>
          <w:sz w:val="22"/>
          <w:szCs w:val="22"/>
        </w:rPr>
      </w:pPr>
    </w:p>
    <w:p w14:paraId="0E1FAA4E" w14:textId="49B8E0D6" w:rsidR="00A81DCD" w:rsidRPr="000634A4" w:rsidRDefault="00A81DCD" w:rsidP="00A81DCD">
      <w:pPr>
        <w:tabs>
          <w:tab w:val="left" w:pos="-720"/>
        </w:tabs>
        <w:suppressAutoHyphens/>
        <w:spacing w:line="240" w:lineRule="atLeast"/>
        <w:ind w:firstLine="720"/>
        <w:jc w:val="both"/>
        <w:rPr>
          <w:spacing w:val="-2"/>
          <w:sz w:val="22"/>
          <w:szCs w:val="22"/>
        </w:rPr>
      </w:pPr>
      <w:r w:rsidRPr="000634A4">
        <w:rPr>
          <w:spacing w:val="-2"/>
          <w:sz w:val="22"/>
          <w:szCs w:val="22"/>
        </w:rPr>
        <w:t xml:space="preserve">Although most of our revenues are denominated in U.S. dollars, a significant portion of our revenues is denominated in Canadian dollars, Pound Sterling and Euros. In addition, a significant portion of our expenses, primarily labor expenses in the Philippines, India, Sri Lanka, Germany, Canada and Israel, </w:t>
      </w:r>
      <w:r w:rsidR="00D11D75" w:rsidRPr="000634A4">
        <w:rPr>
          <w:spacing w:val="-2"/>
          <w:sz w:val="22"/>
          <w:szCs w:val="22"/>
        </w:rPr>
        <w:t xml:space="preserve">are </w:t>
      </w:r>
      <w:r w:rsidRPr="000634A4">
        <w:rPr>
          <w:spacing w:val="-2"/>
          <w:sz w:val="22"/>
          <w:szCs w:val="22"/>
        </w:rPr>
        <w:t xml:space="preserve">incurred in the local currencies of the countries in which we operate. For financial reporting purposes, we translate all non-U.S. denominated transactions into U.S. dollars in accordance with </w:t>
      </w:r>
      <w:r w:rsidR="00533D48" w:rsidRPr="000634A4">
        <w:rPr>
          <w:spacing w:val="-2"/>
          <w:sz w:val="22"/>
          <w:szCs w:val="22"/>
        </w:rPr>
        <w:t>U.S. GAAP</w:t>
      </w:r>
      <w:r w:rsidRPr="000634A4">
        <w:rPr>
          <w:spacing w:val="-2"/>
          <w:sz w:val="22"/>
          <w:szCs w:val="22"/>
        </w:rPr>
        <w:t xml:space="preserve">.  Thus, we are exposed to the risk that fluctuations in the value of these currencies relative to the U.S. dollar could have a direct impact on our revenues and our results of operations. </w:t>
      </w:r>
    </w:p>
    <w:p w14:paraId="6FD52FED" w14:textId="77777777" w:rsidR="00A81DCD" w:rsidRPr="000634A4" w:rsidRDefault="00A81DCD" w:rsidP="00A81DCD">
      <w:pPr>
        <w:tabs>
          <w:tab w:val="left" w:pos="-720"/>
        </w:tabs>
        <w:suppressAutoHyphens/>
        <w:spacing w:line="240" w:lineRule="atLeast"/>
        <w:jc w:val="both"/>
        <w:rPr>
          <w:spacing w:val="-2"/>
          <w:sz w:val="22"/>
          <w:szCs w:val="22"/>
        </w:rPr>
      </w:pPr>
    </w:p>
    <w:p w14:paraId="609C7CC6" w14:textId="3C232599" w:rsidR="00A81DCD" w:rsidRPr="000634A4" w:rsidRDefault="00A81DCD" w:rsidP="00A81DCD">
      <w:pPr>
        <w:tabs>
          <w:tab w:val="left" w:pos="-720"/>
        </w:tabs>
        <w:suppressAutoHyphens/>
        <w:spacing w:line="240" w:lineRule="atLeast"/>
        <w:ind w:firstLine="720"/>
        <w:jc w:val="both"/>
        <w:rPr>
          <w:spacing w:val="-2"/>
          <w:sz w:val="22"/>
          <w:szCs w:val="22"/>
        </w:rPr>
      </w:pPr>
      <w:r w:rsidRPr="000634A4">
        <w:rPr>
          <w:spacing w:val="-2"/>
          <w:sz w:val="22"/>
          <w:szCs w:val="22"/>
        </w:rPr>
        <w:t xml:space="preserve">The Philippines and India have at times experienced high rates of inflation as well as major fluctuations in the exchange rate between the Philippine peso and the U.S. dollar and the Indian rupee and the U.S. dollar. As of December 31, </w:t>
      </w:r>
      <w:r w:rsidR="00776A83" w:rsidRPr="000634A4">
        <w:rPr>
          <w:spacing w:val="-2"/>
          <w:sz w:val="22"/>
          <w:szCs w:val="22"/>
        </w:rPr>
        <w:t>2022</w:t>
      </w:r>
      <w:r w:rsidRPr="000634A4">
        <w:rPr>
          <w:spacing w:val="-2"/>
          <w:sz w:val="22"/>
          <w:szCs w:val="22"/>
        </w:rPr>
        <w:t>, the aggregate notional amount</w:t>
      </w:r>
      <w:r w:rsidR="00742E2E" w:rsidRPr="000634A4">
        <w:rPr>
          <w:spacing w:val="-2"/>
          <w:sz w:val="22"/>
          <w:szCs w:val="22"/>
        </w:rPr>
        <w:t xml:space="preserve"> </w:t>
      </w:r>
      <w:r w:rsidRPr="000634A4">
        <w:rPr>
          <w:spacing w:val="-2"/>
          <w:sz w:val="22"/>
          <w:szCs w:val="22"/>
        </w:rPr>
        <w:t xml:space="preserve">of </w:t>
      </w:r>
      <w:r w:rsidR="00262D36" w:rsidRPr="000634A4">
        <w:rPr>
          <w:spacing w:val="-2"/>
          <w:sz w:val="22"/>
          <w:szCs w:val="22"/>
        </w:rPr>
        <w:t xml:space="preserve">our hedges </w:t>
      </w:r>
      <w:r w:rsidR="00F37A69" w:rsidRPr="000634A4">
        <w:rPr>
          <w:spacing w:val="-2"/>
          <w:sz w:val="22"/>
          <w:szCs w:val="22"/>
        </w:rPr>
        <w:t xml:space="preserve">was </w:t>
      </w:r>
      <w:r w:rsidR="00370F16" w:rsidRPr="000634A4">
        <w:rPr>
          <w:spacing w:val="-2"/>
          <w:sz w:val="22"/>
          <w:szCs w:val="22"/>
        </w:rPr>
        <w:t>$14.2 million</w:t>
      </w:r>
      <w:r w:rsidR="003C4D05" w:rsidRPr="000634A4">
        <w:rPr>
          <w:spacing w:val="-2"/>
          <w:sz w:val="22"/>
          <w:szCs w:val="22"/>
        </w:rPr>
        <w:t xml:space="preserve"> </w:t>
      </w:r>
      <w:r w:rsidR="00F37A69" w:rsidRPr="000634A4">
        <w:rPr>
          <w:spacing w:val="-2"/>
          <w:sz w:val="22"/>
          <w:szCs w:val="22"/>
        </w:rPr>
        <w:t xml:space="preserve">consisting </w:t>
      </w:r>
      <w:r w:rsidR="00F321D3" w:rsidRPr="000634A4">
        <w:rPr>
          <w:spacing w:val="-2"/>
          <w:sz w:val="22"/>
          <w:szCs w:val="22"/>
        </w:rPr>
        <w:t xml:space="preserve">of approximately $7.1 million </w:t>
      </w:r>
      <w:r w:rsidRPr="000634A4">
        <w:rPr>
          <w:spacing w:val="-2"/>
          <w:sz w:val="22"/>
          <w:szCs w:val="22"/>
        </w:rPr>
        <w:t xml:space="preserve">against the Indian </w:t>
      </w:r>
      <w:r w:rsidR="00110E24" w:rsidRPr="000634A4">
        <w:rPr>
          <w:spacing w:val="-2"/>
          <w:sz w:val="22"/>
          <w:szCs w:val="22"/>
        </w:rPr>
        <w:t>r</w:t>
      </w:r>
      <w:r w:rsidRPr="000634A4">
        <w:rPr>
          <w:spacing w:val="-2"/>
          <w:sz w:val="22"/>
          <w:szCs w:val="22"/>
        </w:rPr>
        <w:t>upee</w:t>
      </w:r>
      <w:r w:rsidR="00110E24" w:rsidRPr="000634A4">
        <w:rPr>
          <w:sz w:val="22"/>
          <w:szCs w:val="22"/>
          <w:shd w:val="clear" w:color="auto" w:fill="FFFFFF"/>
          <w:lang w:bidi="he-IL"/>
        </w:rPr>
        <w:t>,</w:t>
      </w:r>
      <w:r w:rsidRPr="000634A4">
        <w:rPr>
          <w:sz w:val="22"/>
          <w:szCs w:val="22"/>
          <w:shd w:val="clear" w:color="auto" w:fill="FFFFFF"/>
          <w:lang w:bidi="he-IL"/>
        </w:rPr>
        <w:t> </w:t>
      </w:r>
      <w:r w:rsidR="00110E24" w:rsidRPr="000634A4">
        <w:rPr>
          <w:spacing w:val="-2"/>
          <w:sz w:val="22"/>
          <w:szCs w:val="22"/>
        </w:rPr>
        <w:t xml:space="preserve">and </w:t>
      </w:r>
      <w:r w:rsidR="00F321D3" w:rsidRPr="000634A4">
        <w:rPr>
          <w:spacing w:val="-2"/>
          <w:sz w:val="22"/>
          <w:szCs w:val="22"/>
        </w:rPr>
        <w:t xml:space="preserve">$7.1 million </w:t>
      </w:r>
      <w:r w:rsidR="009A6501" w:rsidRPr="000634A4">
        <w:rPr>
          <w:spacing w:val="-2"/>
          <w:sz w:val="22"/>
          <w:szCs w:val="22"/>
        </w:rPr>
        <w:t xml:space="preserve">against </w:t>
      </w:r>
      <w:r w:rsidR="00110E24" w:rsidRPr="000634A4">
        <w:rPr>
          <w:spacing w:val="-2"/>
          <w:sz w:val="22"/>
          <w:szCs w:val="22"/>
        </w:rPr>
        <w:t>the Philippine peso</w:t>
      </w:r>
      <w:r w:rsidR="00110E24" w:rsidRPr="000634A4">
        <w:rPr>
          <w:sz w:val="22"/>
          <w:szCs w:val="22"/>
          <w:shd w:val="clear" w:color="auto" w:fill="FFFFFF"/>
          <w:lang w:bidi="he-IL"/>
        </w:rPr>
        <w:t>. </w:t>
      </w:r>
    </w:p>
    <w:p w14:paraId="6E6BA480" w14:textId="77777777" w:rsidR="00A81DCD" w:rsidRPr="000634A4" w:rsidRDefault="00A81DCD" w:rsidP="00A81DCD">
      <w:pPr>
        <w:tabs>
          <w:tab w:val="left" w:pos="-720"/>
        </w:tabs>
        <w:suppressAutoHyphens/>
        <w:spacing w:line="240" w:lineRule="atLeast"/>
        <w:ind w:firstLine="720"/>
        <w:jc w:val="both"/>
        <w:rPr>
          <w:spacing w:val="-2"/>
          <w:sz w:val="22"/>
          <w:szCs w:val="22"/>
        </w:rPr>
      </w:pPr>
    </w:p>
    <w:p w14:paraId="3292A3E8" w14:textId="2B6636ED" w:rsidR="00A81DCD" w:rsidRPr="000634A4" w:rsidRDefault="00A81DCD" w:rsidP="00A81DCD">
      <w:pPr>
        <w:tabs>
          <w:tab w:val="left" w:pos="-720"/>
        </w:tabs>
        <w:suppressAutoHyphens/>
        <w:spacing w:line="240" w:lineRule="atLeast"/>
        <w:ind w:firstLine="720"/>
        <w:jc w:val="both"/>
        <w:rPr>
          <w:spacing w:val="-2"/>
          <w:sz w:val="22"/>
          <w:szCs w:val="22"/>
        </w:rPr>
      </w:pPr>
      <w:r w:rsidRPr="000634A4">
        <w:rPr>
          <w:spacing w:val="-2"/>
          <w:sz w:val="22"/>
          <w:szCs w:val="22"/>
        </w:rPr>
        <w:t>Fluctuations in exchange rates also affect the value of funds held by our foreign subsidiaries. We do not currently intend to hedge these assets.</w:t>
      </w:r>
    </w:p>
    <w:p w14:paraId="601E7526" w14:textId="77777777" w:rsidR="0077277C" w:rsidRPr="000634A4" w:rsidRDefault="0077277C" w:rsidP="00A81DCD">
      <w:pPr>
        <w:tabs>
          <w:tab w:val="left" w:pos="-720"/>
        </w:tabs>
        <w:suppressAutoHyphens/>
        <w:spacing w:line="240" w:lineRule="atLeast"/>
        <w:ind w:firstLine="720"/>
        <w:jc w:val="both"/>
        <w:rPr>
          <w:spacing w:val="-2"/>
          <w:sz w:val="22"/>
          <w:szCs w:val="22"/>
        </w:rPr>
      </w:pPr>
    </w:p>
    <w:p w14:paraId="220E4F24" w14:textId="19EBF4EC" w:rsidR="00A81DCD" w:rsidRPr="000634A4" w:rsidRDefault="00A81DCD" w:rsidP="00A81DCD">
      <w:pPr>
        <w:tabs>
          <w:tab w:val="left" w:pos="-720"/>
        </w:tabs>
        <w:suppressAutoHyphens/>
        <w:spacing w:line="240" w:lineRule="atLeast"/>
        <w:jc w:val="both"/>
        <w:rPr>
          <w:spacing w:val="-2"/>
          <w:sz w:val="22"/>
          <w:szCs w:val="22"/>
        </w:rPr>
      </w:pPr>
      <w:r w:rsidRPr="000634A4">
        <w:rPr>
          <w:spacing w:val="-2"/>
          <w:sz w:val="22"/>
          <w:szCs w:val="22"/>
        </w:rPr>
        <w:tab/>
        <w:t xml:space="preserve">Our most significant costs are the salaries and related benefits of our employees in Asia. We are exposed to high inflation in wage rates in the countries in which we operate. We generally perform work for our </w:t>
      </w:r>
      <w:r w:rsidR="00FE2D12" w:rsidRPr="000634A4">
        <w:rPr>
          <w:spacing w:val="-2"/>
          <w:sz w:val="22"/>
          <w:szCs w:val="22"/>
        </w:rPr>
        <w:t xml:space="preserve">customers </w:t>
      </w:r>
      <w:r w:rsidRPr="000634A4">
        <w:rPr>
          <w:spacing w:val="-2"/>
          <w:sz w:val="22"/>
          <w:szCs w:val="22"/>
        </w:rPr>
        <w:t xml:space="preserve">under project-specific contracts, requirements-based contracts or long-term contracts. We must adequately anticipate wage increases, particularly on our fixed-price contracts. There can be no assurance that we will be able to recover cost increases through increases in the prices that we charge for our services to our </w:t>
      </w:r>
      <w:r w:rsidR="00FE2D12" w:rsidRPr="000634A4">
        <w:rPr>
          <w:spacing w:val="-2"/>
          <w:sz w:val="22"/>
          <w:szCs w:val="22"/>
        </w:rPr>
        <w:t>customers</w:t>
      </w:r>
      <w:r w:rsidRPr="000634A4">
        <w:rPr>
          <w:spacing w:val="-2"/>
          <w:sz w:val="22"/>
          <w:szCs w:val="22"/>
        </w:rPr>
        <w:t xml:space="preserve">. </w:t>
      </w:r>
    </w:p>
    <w:p w14:paraId="19FEE5C8" w14:textId="77777777" w:rsidR="00A81DCD" w:rsidRPr="000634A4" w:rsidRDefault="00A81DCD" w:rsidP="00A81DCD">
      <w:pPr>
        <w:tabs>
          <w:tab w:val="left" w:pos="-720"/>
        </w:tabs>
        <w:suppressAutoHyphens/>
        <w:spacing w:line="240" w:lineRule="atLeast"/>
        <w:jc w:val="both"/>
        <w:rPr>
          <w:spacing w:val="-2"/>
          <w:sz w:val="22"/>
          <w:szCs w:val="22"/>
        </w:rPr>
      </w:pPr>
    </w:p>
    <w:p w14:paraId="62C1EAFE" w14:textId="77777777" w:rsidR="00A81DCD" w:rsidRPr="000634A4" w:rsidRDefault="00A81DCD" w:rsidP="00A81DCD">
      <w:pPr>
        <w:tabs>
          <w:tab w:val="left" w:pos="-720"/>
        </w:tabs>
        <w:suppressAutoHyphens/>
        <w:spacing w:line="240" w:lineRule="atLeast"/>
        <w:ind w:firstLine="720"/>
        <w:jc w:val="both"/>
        <w:rPr>
          <w:spacing w:val="-2"/>
          <w:sz w:val="22"/>
          <w:szCs w:val="22"/>
        </w:rPr>
      </w:pPr>
      <w:r w:rsidRPr="000634A4">
        <w:rPr>
          <w:spacing w:val="-2"/>
          <w:sz w:val="22"/>
          <w:szCs w:val="22"/>
        </w:rPr>
        <w:t xml:space="preserve">Our quarterly operating results are subject to certain fluctuations. </w:t>
      </w:r>
      <w:r w:rsidRPr="000634A4">
        <w:rPr>
          <w:sz w:val="22"/>
          <w:szCs w:val="22"/>
        </w:rPr>
        <w:t xml:space="preserve">We experience fluctuations in our revenue and earnings as we replace and begin new projects, which may have some normal start-up delays, or we may be unable to replace a project entirely. </w:t>
      </w:r>
      <w:r w:rsidRPr="000634A4">
        <w:rPr>
          <w:spacing w:val="-2"/>
          <w:sz w:val="22"/>
          <w:szCs w:val="22"/>
        </w:rPr>
        <w:t xml:space="preserve">These and other factors may contribute to fluctuations in our operating results from quarter to quarter. In addition, as some of our Asian facilities are closed during holidays in the fourth quarter, we typically incur higher wages, due to overtime, that reduce our margins. </w:t>
      </w:r>
    </w:p>
    <w:p w14:paraId="4460FB19" w14:textId="77777777" w:rsidR="00A81DCD" w:rsidRPr="000634A4" w:rsidRDefault="00A81DCD" w:rsidP="00A81DCD">
      <w:pPr>
        <w:tabs>
          <w:tab w:val="left" w:pos="-720"/>
        </w:tabs>
        <w:suppressAutoHyphens/>
        <w:spacing w:line="240" w:lineRule="atLeast"/>
        <w:jc w:val="both"/>
        <w:rPr>
          <w:spacing w:val="-2"/>
          <w:sz w:val="22"/>
          <w:szCs w:val="22"/>
        </w:rPr>
      </w:pPr>
      <w:r w:rsidRPr="000634A4">
        <w:rPr>
          <w:spacing w:val="-2"/>
          <w:sz w:val="22"/>
          <w:szCs w:val="22"/>
        </w:rPr>
        <w:tab/>
      </w:r>
    </w:p>
    <w:p w14:paraId="578DCC57" w14:textId="5F2590C6" w:rsidR="00A81DCD" w:rsidRPr="000634A4" w:rsidRDefault="00A81DCD" w:rsidP="00A81DCD">
      <w:pPr>
        <w:tabs>
          <w:tab w:val="left" w:pos="-720"/>
        </w:tabs>
        <w:suppressAutoHyphens/>
        <w:spacing w:line="240" w:lineRule="atLeast"/>
        <w:ind w:firstLine="720"/>
        <w:jc w:val="both"/>
        <w:rPr>
          <w:spacing w:val="-2"/>
          <w:sz w:val="22"/>
          <w:szCs w:val="22"/>
        </w:rPr>
      </w:pPr>
      <w:r w:rsidRPr="000634A4">
        <w:rPr>
          <w:spacing w:val="-2"/>
          <w:sz w:val="22"/>
          <w:szCs w:val="22"/>
        </w:rPr>
        <w:t>Our Synodex subsidiary experiences seasonal fluctuations in revenues. Typically, revenue is lowest in the third quarter of the calendar year and highest in the fourth quarter of the calendar year. The seasonality is directly linked to the number of life insurance applications received by the insurance companies.</w:t>
      </w:r>
    </w:p>
    <w:p w14:paraId="3F2FDD1D" w14:textId="56E07535" w:rsidR="007A7330" w:rsidRPr="000634A4" w:rsidRDefault="007A7330" w:rsidP="00A81DCD">
      <w:pPr>
        <w:tabs>
          <w:tab w:val="left" w:pos="-720"/>
        </w:tabs>
        <w:suppressAutoHyphens/>
        <w:spacing w:line="240" w:lineRule="atLeast"/>
        <w:ind w:firstLine="720"/>
        <w:jc w:val="both"/>
        <w:rPr>
          <w:spacing w:val="-2"/>
          <w:sz w:val="22"/>
          <w:szCs w:val="22"/>
        </w:rPr>
      </w:pPr>
    </w:p>
    <w:p w14:paraId="5EEE8ACB" w14:textId="77777777" w:rsidR="007A7330" w:rsidRPr="000634A4" w:rsidRDefault="007A7330" w:rsidP="00501AD3">
      <w:pPr>
        <w:tabs>
          <w:tab w:val="left" w:pos="-720"/>
        </w:tabs>
        <w:suppressAutoHyphens/>
        <w:spacing w:line="240" w:lineRule="atLeast"/>
        <w:jc w:val="both"/>
        <w:rPr>
          <w:i/>
          <w:iCs/>
          <w:spacing w:val="-2"/>
          <w:sz w:val="22"/>
          <w:szCs w:val="22"/>
        </w:rPr>
      </w:pPr>
      <w:bookmarkStart w:id="36" w:name="_Hlk125680877"/>
      <w:r w:rsidRPr="000634A4">
        <w:rPr>
          <w:i/>
          <w:iCs/>
          <w:spacing w:val="-2"/>
          <w:sz w:val="22"/>
          <w:szCs w:val="22"/>
        </w:rPr>
        <w:t>Trends</w:t>
      </w:r>
    </w:p>
    <w:p w14:paraId="6830C1C8" w14:textId="77777777" w:rsidR="0034154D" w:rsidRPr="000634A4" w:rsidRDefault="0034154D" w:rsidP="007A7330">
      <w:pPr>
        <w:tabs>
          <w:tab w:val="left" w:pos="-720"/>
        </w:tabs>
        <w:suppressAutoHyphens/>
        <w:spacing w:line="240" w:lineRule="atLeast"/>
        <w:ind w:firstLine="720"/>
        <w:jc w:val="both"/>
        <w:rPr>
          <w:spacing w:val="-2"/>
          <w:sz w:val="22"/>
          <w:szCs w:val="22"/>
        </w:rPr>
      </w:pPr>
    </w:p>
    <w:p w14:paraId="7A7872A6" w14:textId="77777777" w:rsidR="001C7601" w:rsidRPr="000634A4" w:rsidRDefault="001C7601" w:rsidP="001C7601">
      <w:pPr>
        <w:spacing w:line="240" w:lineRule="atLeast"/>
        <w:ind w:firstLine="720"/>
        <w:jc w:val="both"/>
        <w:rPr>
          <w:spacing w:val="-2"/>
          <w:sz w:val="22"/>
          <w:szCs w:val="22"/>
        </w:rPr>
      </w:pPr>
      <w:r w:rsidRPr="000634A4">
        <w:rPr>
          <w:spacing w:val="-2"/>
          <w:sz w:val="22"/>
          <w:szCs w:val="22"/>
        </w:rPr>
        <w:t xml:space="preserve">We view new customer acquisition as an indicator of our business momentum, sales and marketing efficiency, and competitive market positioning. During the year ended December 31, 2022, we added an average </w:t>
      </w:r>
      <w:r w:rsidRPr="000634A4">
        <w:rPr>
          <w:spacing w:val="-2"/>
          <w:sz w:val="22"/>
          <w:szCs w:val="22"/>
        </w:rPr>
        <w:lastRenderedPageBreak/>
        <w:t>of 126 new customers per year. This is an 35% increase over the 93 new customers we added on average per year in 2021 and a 102% increase over the 62 new customers we added on average per year in 2020.</w:t>
      </w:r>
    </w:p>
    <w:p w14:paraId="7B3D4B3B" w14:textId="77777777" w:rsidR="001C7601" w:rsidRPr="000634A4" w:rsidRDefault="001C7601" w:rsidP="007A7330">
      <w:pPr>
        <w:tabs>
          <w:tab w:val="left" w:pos="-720"/>
        </w:tabs>
        <w:suppressAutoHyphens/>
        <w:spacing w:line="240" w:lineRule="atLeast"/>
        <w:ind w:firstLine="720"/>
        <w:jc w:val="both"/>
        <w:rPr>
          <w:spacing w:val="-2"/>
          <w:sz w:val="22"/>
          <w:szCs w:val="22"/>
        </w:rPr>
      </w:pPr>
    </w:p>
    <w:p w14:paraId="700E28B8" w14:textId="77777777" w:rsidR="00A81DCD" w:rsidRPr="000634A4" w:rsidRDefault="00A81DCD" w:rsidP="00A81DCD">
      <w:pPr>
        <w:tabs>
          <w:tab w:val="left" w:pos="-720"/>
        </w:tabs>
        <w:suppressAutoHyphens/>
        <w:spacing w:line="240" w:lineRule="atLeast"/>
        <w:jc w:val="both"/>
        <w:rPr>
          <w:b/>
          <w:iCs/>
          <w:spacing w:val="-2"/>
          <w:sz w:val="22"/>
          <w:szCs w:val="22"/>
        </w:rPr>
      </w:pPr>
      <w:bookmarkStart w:id="37" w:name="pension"/>
      <w:bookmarkEnd w:id="36"/>
      <w:bookmarkEnd w:id="37"/>
      <w:r w:rsidRPr="000634A4">
        <w:rPr>
          <w:b/>
          <w:iCs/>
          <w:spacing w:val="-2"/>
          <w:sz w:val="22"/>
          <w:szCs w:val="22"/>
        </w:rPr>
        <w:t>Item 7A.  Quantitative and Qualitative Disclosures About Market Risk.</w:t>
      </w:r>
    </w:p>
    <w:p w14:paraId="6A3CFF2C" w14:textId="77777777" w:rsidR="00A81DCD" w:rsidRPr="000634A4" w:rsidRDefault="00A81DCD" w:rsidP="00A81DCD">
      <w:pPr>
        <w:tabs>
          <w:tab w:val="left" w:pos="-720"/>
        </w:tabs>
        <w:suppressAutoHyphens/>
        <w:spacing w:line="240" w:lineRule="atLeast"/>
        <w:jc w:val="both"/>
        <w:rPr>
          <w:iCs/>
          <w:spacing w:val="-2"/>
          <w:sz w:val="22"/>
          <w:szCs w:val="22"/>
        </w:rPr>
      </w:pPr>
      <w:r w:rsidRPr="000634A4">
        <w:rPr>
          <w:i/>
          <w:iCs/>
          <w:spacing w:val="-2"/>
          <w:sz w:val="22"/>
          <w:szCs w:val="22"/>
        </w:rPr>
        <w:tab/>
      </w:r>
    </w:p>
    <w:p w14:paraId="41161D37" w14:textId="77777777" w:rsidR="00A81DCD" w:rsidRPr="000634A4" w:rsidRDefault="00A81DCD" w:rsidP="00A81DCD">
      <w:pPr>
        <w:tabs>
          <w:tab w:val="left" w:pos="-720"/>
        </w:tabs>
        <w:suppressAutoHyphens/>
        <w:spacing w:line="240" w:lineRule="atLeast"/>
        <w:jc w:val="both"/>
        <w:rPr>
          <w:iCs/>
          <w:spacing w:val="-2"/>
          <w:sz w:val="22"/>
          <w:szCs w:val="22"/>
        </w:rPr>
      </w:pPr>
      <w:r w:rsidRPr="000634A4">
        <w:rPr>
          <w:iCs/>
          <w:spacing w:val="-2"/>
          <w:sz w:val="22"/>
          <w:szCs w:val="22"/>
        </w:rPr>
        <w:tab/>
        <w:t>Not applicable to smaller reporting companies.</w:t>
      </w:r>
    </w:p>
    <w:p w14:paraId="086BA5D8" w14:textId="77777777" w:rsidR="00A81DCD" w:rsidRPr="000634A4" w:rsidRDefault="00A81DCD" w:rsidP="00A81DCD">
      <w:pPr>
        <w:tabs>
          <w:tab w:val="left" w:pos="-720"/>
        </w:tabs>
        <w:suppressAutoHyphens/>
        <w:spacing w:line="240" w:lineRule="atLeast"/>
        <w:jc w:val="both"/>
        <w:rPr>
          <w:iCs/>
          <w:spacing w:val="-2"/>
          <w:sz w:val="22"/>
          <w:szCs w:val="22"/>
        </w:rPr>
      </w:pPr>
    </w:p>
    <w:p w14:paraId="24C6014C" w14:textId="77777777" w:rsidR="00A81DCD" w:rsidRPr="000634A4" w:rsidRDefault="00A81DCD" w:rsidP="00A81DCD">
      <w:pPr>
        <w:tabs>
          <w:tab w:val="left" w:pos="-720"/>
        </w:tabs>
        <w:outlineLvl w:val="0"/>
        <w:rPr>
          <w:b/>
          <w:sz w:val="22"/>
          <w:szCs w:val="22"/>
        </w:rPr>
      </w:pPr>
      <w:r w:rsidRPr="000634A4">
        <w:rPr>
          <w:b/>
          <w:sz w:val="22"/>
          <w:szCs w:val="22"/>
        </w:rPr>
        <w:t>Item 8.  Financial Statements and Supplementary Data.</w:t>
      </w:r>
    </w:p>
    <w:p w14:paraId="5B2C926E" w14:textId="77777777" w:rsidR="00A81DCD" w:rsidRPr="000634A4" w:rsidRDefault="00A81DCD" w:rsidP="00A81DCD">
      <w:pPr>
        <w:tabs>
          <w:tab w:val="left" w:pos="-720"/>
        </w:tabs>
        <w:outlineLvl w:val="0"/>
        <w:rPr>
          <w:b/>
          <w:sz w:val="22"/>
          <w:szCs w:val="22"/>
        </w:rPr>
      </w:pPr>
    </w:p>
    <w:p w14:paraId="57FA6D49" w14:textId="77777777" w:rsidR="00533D48" w:rsidRPr="000634A4" w:rsidRDefault="00533D48" w:rsidP="00444C0A">
      <w:pPr>
        <w:tabs>
          <w:tab w:val="left" w:pos="-720"/>
        </w:tabs>
        <w:ind w:firstLine="720"/>
        <w:jc w:val="both"/>
        <w:outlineLvl w:val="0"/>
        <w:rPr>
          <w:sz w:val="22"/>
          <w:szCs w:val="22"/>
        </w:rPr>
      </w:pPr>
      <w:r w:rsidRPr="000634A4">
        <w:rPr>
          <w:sz w:val="22"/>
          <w:szCs w:val="22"/>
        </w:rPr>
        <w:t>See Financial Statement Index and Financial Statements commencing on page F-1, which are incorporated by reference herein.</w:t>
      </w:r>
    </w:p>
    <w:p w14:paraId="3D3F75DE" w14:textId="77777777" w:rsidR="00A81DCD" w:rsidRPr="000634A4" w:rsidRDefault="00A81DCD" w:rsidP="00A81DCD">
      <w:pPr>
        <w:tabs>
          <w:tab w:val="left" w:pos="-720"/>
        </w:tabs>
        <w:outlineLvl w:val="0"/>
        <w:rPr>
          <w:sz w:val="22"/>
          <w:szCs w:val="22"/>
        </w:rPr>
      </w:pPr>
    </w:p>
    <w:p w14:paraId="46999226" w14:textId="77777777" w:rsidR="00A81DCD" w:rsidRPr="000634A4" w:rsidRDefault="00A81DCD" w:rsidP="00A81DCD">
      <w:pPr>
        <w:tabs>
          <w:tab w:val="left" w:pos="-720"/>
        </w:tabs>
        <w:suppressAutoHyphens/>
        <w:spacing w:line="240" w:lineRule="atLeast"/>
        <w:jc w:val="both"/>
        <w:rPr>
          <w:b/>
          <w:sz w:val="22"/>
          <w:szCs w:val="22"/>
        </w:rPr>
      </w:pPr>
      <w:r w:rsidRPr="000634A4">
        <w:rPr>
          <w:b/>
          <w:sz w:val="22"/>
          <w:szCs w:val="22"/>
        </w:rPr>
        <w:t>Item 9.  Changes in and Disagreements with Accountants on Accounting and Financial Disclosure.</w:t>
      </w:r>
    </w:p>
    <w:p w14:paraId="0C88A71B" w14:textId="77777777" w:rsidR="00A81DCD" w:rsidRPr="000634A4" w:rsidRDefault="00A81DCD" w:rsidP="00A81DCD">
      <w:pPr>
        <w:tabs>
          <w:tab w:val="left" w:pos="-720"/>
        </w:tabs>
        <w:jc w:val="both"/>
        <w:rPr>
          <w:b/>
          <w:sz w:val="22"/>
          <w:szCs w:val="22"/>
        </w:rPr>
      </w:pPr>
    </w:p>
    <w:p w14:paraId="717F6E7A" w14:textId="77777777" w:rsidR="00A81DCD" w:rsidRPr="000634A4" w:rsidRDefault="00A81DCD" w:rsidP="00A81DCD">
      <w:pPr>
        <w:tabs>
          <w:tab w:val="left" w:pos="-720"/>
        </w:tabs>
        <w:ind w:firstLine="720"/>
        <w:jc w:val="both"/>
        <w:rPr>
          <w:bCs/>
          <w:sz w:val="22"/>
          <w:szCs w:val="22"/>
        </w:rPr>
      </w:pPr>
      <w:r w:rsidRPr="000634A4">
        <w:rPr>
          <w:bCs/>
          <w:sz w:val="22"/>
          <w:szCs w:val="22"/>
        </w:rPr>
        <w:t>None.</w:t>
      </w:r>
    </w:p>
    <w:p w14:paraId="40BE3CF3" w14:textId="77777777" w:rsidR="00A81DCD" w:rsidRPr="000634A4" w:rsidRDefault="00A81DCD" w:rsidP="00A81DCD">
      <w:pPr>
        <w:tabs>
          <w:tab w:val="left" w:pos="-720"/>
        </w:tabs>
        <w:jc w:val="both"/>
        <w:rPr>
          <w:bCs/>
          <w:sz w:val="22"/>
          <w:szCs w:val="22"/>
        </w:rPr>
      </w:pPr>
    </w:p>
    <w:p w14:paraId="5D350F37" w14:textId="77777777" w:rsidR="00A81DCD" w:rsidRPr="000634A4" w:rsidRDefault="00A81DCD" w:rsidP="00A81DCD">
      <w:pPr>
        <w:tabs>
          <w:tab w:val="left" w:pos="-720"/>
        </w:tabs>
        <w:jc w:val="both"/>
        <w:rPr>
          <w:b/>
          <w:sz w:val="22"/>
          <w:szCs w:val="22"/>
        </w:rPr>
      </w:pPr>
      <w:r w:rsidRPr="000634A4">
        <w:rPr>
          <w:b/>
          <w:sz w:val="22"/>
          <w:szCs w:val="22"/>
        </w:rPr>
        <w:t xml:space="preserve">Item 9A.  Controls and Procedures. </w:t>
      </w:r>
    </w:p>
    <w:p w14:paraId="5795A21F" w14:textId="77777777" w:rsidR="00A81DCD" w:rsidRPr="000634A4" w:rsidRDefault="00A81DCD" w:rsidP="00A81DCD">
      <w:pPr>
        <w:tabs>
          <w:tab w:val="left" w:pos="-720"/>
        </w:tabs>
        <w:jc w:val="both"/>
        <w:rPr>
          <w:bCs/>
          <w:sz w:val="22"/>
          <w:szCs w:val="22"/>
        </w:rPr>
      </w:pPr>
    </w:p>
    <w:p w14:paraId="227963BE" w14:textId="77777777" w:rsidR="00A81DCD" w:rsidRPr="000634A4" w:rsidRDefault="00A81DCD" w:rsidP="00A81DCD">
      <w:pPr>
        <w:shd w:val="clear" w:color="auto" w:fill="FFFFFF"/>
        <w:jc w:val="both"/>
        <w:rPr>
          <w:sz w:val="22"/>
          <w:szCs w:val="22"/>
        </w:rPr>
      </w:pPr>
      <w:bookmarkStart w:id="38" w:name="_Hlk96034207"/>
      <w:r w:rsidRPr="000634A4">
        <w:rPr>
          <w:b/>
          <w:bCs/>
          <w:sz w:val="22"/>
          <w:szCs w:val="22"/>
        </w:rPr>
        <w:t>Evaluation of Disclosure Controls and Procedures</w:t>
      </w:r>
      <w:r w:rsidRPr="000634A4">
        <w:rPr>
          <w:sz w:val="22"/>
          <w:szCs w:val="22"/>
        </w:rPr>
        <w:t xml:space="preserve"> </w:t>
      </w:r>
    </w:p>
    <w:p w14:paraId="25F439C1" w14:textId="77777777" w:rsidR="00A81DCD" w:rsidRPr="000634A4" w:rsidRDefault="00A81DCD" w:rsidP="00A81DCD">
      <w:pPr>
        <w:ind w:firstLine="720"/>
        <w:jc w:val="both"/>
        <w:rPr>
          <w:sz w:val="22"/>
          <w:szCs w:val="22"/>
        </w:rPr>
      </w:pPr>
    </w:p>
    <w:p w14:paraId="60E22317" w14:textId="70C14238" w:rsidR="00F16AE3" w:rsidRPr="000634A4" w:rsidRDefault="00F16AE3" w:rsidP="00FC4C31">
      <w:pPr>
        <w:ind w:firstLine="720"/>
        <w:jc w:val="both"/>
        <w:rPr>
          <w:sz w:val="22"/>
          <w:szCs w:val="22"/>
        </w:rPr>
      </w:pPr>
      <w:r w:rsidRPr="000634A4">
        <w:rPr>
          <w:sz w:val="22"/>
          <w:szCs w:val="22"/>
        </w:rPr>
        <w:t>We maintain disclosure controls and procedures (as such term is defined in Rules 13a-15(e) and 15d-15(e) under the Securities Exchange Act of 1934, as amended (Exchange Act), that are designed to ensure that information required to be disclosed in the reports we file or submit under the Exchange Act is recorded, processed, summarized and reported within the time periods specified in the Securities and Exchange Commission’s rules and forms, and that such information is accumulated and communicated to our management, including our principal executive officer and principal financial officer, as appropriate, to allow timely decisions regarding required disclosure.</w:t>
      </w:r>
    </w:p>
    <w:p w14:paraId="13462DAE" w14:textId="77777777" w:rsidR="00FC4C31" w:rsidRPr="000634A4" w:rsidRDefault="00FC4C31" w:rsidP="00FC4C31">
      <w:pPr>
        <w:ind w:firstLine="720"/>
        <w:jc w:val="both"/>
        <w:rPr>
          <w:sz w:val="22"/>
          <w:szCs w:val="22"/>
        </w:rPr>
      </w:pPr>
    </w:p>
    <w:p w14:paraId="523ADDA8" w14:textId="684B8186" w:rsidR="00047F2C" w:rsidRPr="000634A4" w:rsidRDefault="00047F2C" w:rsidP="00047F2C">
      <w:pPr>
        <w:ind w:firstLine="720"/>
        <w:jc w:val="both"/>
        <w:rPr>
          <w:color w:val="000000"/>
          <w:sz w:val="22"/>
          <w:szCs w:val="22"/>
        </w:rPr>
      </w:pPr>
      <w:r w:rsidRPr="000634A4">
        <w:rPr>
          <w:sz w:val="22"/>
          <w:szCs w:val="22"/>
        </w:rPr>
        <w:t xml:space="preserve">Under the supervision, and with the participation of our management, including our principal executive officer and our principal financial officer, we conducted an evaluation of the effectiveness of our disclosure controls and procedures, as defined under Exchange Act Rule 13a-15(e), as of December 31, 2022. Based on this evaluation, our principal executive officer and our principal financial officer concluded that, as of December 31, 2022, our disclosure controls and procedures were effective. </w:t>
      </w:r>
    </w:p>
    <w:p w14:paraId="3756453B" w14:textId="77777777" w:rsidR="00047F2C" w:rsidRPr="000634A4" w:rsidRDefault="00047F2C" w:rsidP="00047F2C">
      <w:pPr>
        <w:ind w:left="720"/>
        <w:jc w:val="both"/>
        <w:rPr>
          <w:sz w:val="22"/>
          <w:szCs w:val="22"/>
        </w:rPr>
      </w:pPr>
      <w:r w:rsidRPr="000634A4">
        <w:rPr>
          <w:color w:val="000000"/>
          <w:sz w:val="22"/>
          <w:szCs w:val="22"/>
        </w:rPr>
        <w:t> </w:t>
      </w:r>
    </w:p>
    <w:p w14:paraId="6A1671B7" w14:textId="77777777" w:rsidR="00A81DCD" w:rsidRPr="000634A4" w:rsidRDefault="00A81DCD" w:rsidP="00A81DCD">
      <w:pPr>
        <w:pStyle w:val="NormalWeb"/>
        <w:keepNext/>
        <w:keepLines/>
        <w:spacing w:before="180" w:beforeAutospacing="0" w:after="0" w:afterAutospacing="0"/>
        <w:ind w:left="244" w:hanging="245"/>
        <w:jc w:val="both"/>
        <w:rPr>
          <w:b/>
          <w:sz w:val="22"/>
          <w:szCs w:val="22"/>
        </w:rPr>
      </w:pPr>
      <w:bookmarkStart w:id="39" w:name="_Hlk31592238"/>
      <w:bookmarkStart w:id="40" w:name="_Hlk95223714"/>
      <w:bookmarkEnd w:id="38"/>
      <w:r w:rsidRPr="000634A4">
        <w:rPr>
          <w:b/>
          <w:sz w:val="22"/>
          <w:szCs w:val="22"/>
        </w:rPr>
        <w:t xml:space="preserve">Management’s Annual Report on Internal Control over Financial Reporting </w:t>
      </w:r>
    </w:p>
    <w:p w14:paraId="7A156D9E" w14:textId="76F03BFF" w:rsidR="00533D48" w:rsidRPr="000634A4" w:rsidRDefault="00533D48" w:rsidP="00533D48">
      <w:pPr>
        <w:pStyle w:val="NormalWeb"/>
        <w:keepNext/>
        <w:keepLines/>
        <w:spacing w:before="180" w:beforeAutospacing="0" w:after="0" w:afterAutospacing="0"/>
        <w:ind w:firstLine="720"/>
        <w:jc w:val="both"/>
        <w:rPr>
          <w:sz w:val="22"/>
          <w:szCs w:val="22"/>
        </w:rPr>
      </w:pPr>
      <w:bookmarkStart w:id="41" w:name="_Hlk31592147"/>
      <w:bookmarkEnd w:id="39"/>
      <w:r w:rsidRPr="000634A4">
        <w:rPr>
          <w:sz w:val="22"/>
          <w:szCs w:val="22"/>
        </w:rPr>
        <w:t xml:space="preserve">Our management is responsible for establishing and maintaining adequate internal control over our financial reporting. Internal control over financial reporting is a process designed to provide reasonable assurance regarding the reliability of our financial reporting and the preparation of financial statements for external purposes in accordance with U.S. GAAP. Internal control over financial reporting includes maintaining records that in reasonable detail accurately and fairly reflect our transactions and disposition of assets; providing reasonable assurance that transactions are recorded as necessary for preparation of our financial statements; providing reasonable assurance that receipts and expenditures of company assets are made in accordance with management and director authorization; and providing reasonable assurance that unauthorized acquisition, use or disposition of company assets that could have a material effect on our financial statements would be prevented or detected on a timely basis. Because of its inherent limitations, internal control over financial reporting is not intended to provide absolute assurance that a misstatement of our financial statements would be prevented or detected. </w:t>
      </w:r>
    </w:p>
    <w:p w14:paraId="59580218" w14:textId="77777777" w:rsidR="006F5701" w:rsidRPr="000634A4" w:rsidRDefault="006F5701" w:rsidP="006F5701">
      <w:pPr>
        <w:pStyle w:val="NormalWeb"/>
        <w:spacing w:before="0" w:beforeAutospacing="0" w:after="0" w:afterAutospacing="0"/>
        <w:ind w:firstLine="245"/>
        <w:jc w:val="both"/>
        <w:rPr>
          <w:sz w:val="22"/>
          <w:szCs w:val="22"/>
        </w:rPr>
      </w:pPr>
    </w:p>
    <w:p w14:paraId="205533C1" w14:textId="074816AF" w:rsidR="006F5701" w:rsidRPr="000634A4" w:rsidRDefault="00E00F9A" w:rsidP="006F5701">
      <w:pPr>
        <w:pStyle w:val="NormalWeb"/>
        <w:spacing w:before="0" w:beforeAutospacing="0" w:after="0" w:afterAutospacing="0"/>
        <w:ind w:firstLine="720"/>
        <w:jc w:val="both"/>
        <w:rPr>
          <w:sz w:val="22"/>
          <w:szCs w:val="22"/>
        </w:rPr>
      </w:pPr>
      <w:r w:rsidRPr="000634A4">
        <w:rPr>
          <w:sz w:val="22"/>
          <w:szCs w:val="22"/>
        </w:rPr>
        <w:t xml:space="preserve">Under the supervision and with the participation of the Company’s Chief Executive Officer and </w:t>
      </w:r>
      <w:r w:rsidR="005B470C" w:rsidRPr="000634A4">
        <w:rPr>
          <w:sz w:val="22"/>
          <w:szCs w:val="22"/>
        </w:rPr>
        <w:t xml:space="preserve">Interim </w:t>
      </w:r>
      <w:r w:rsidRPr="000634A4">
        <w:rPr>
          <w:sz w:val="22"/>
          <w:szCs w:val="22"/>
        </w:rPr>
        <w:t>Chief Financial Officer, m</w:t>
      </w:r>
      <w:r w:rsidR="006F5701" w:rsidRPr="000634A4">
        <w:rPr>
          <w:sz w:val="22"/>
          <w:szCs w:val="22"/>
        </w:rPr>
        <w:t xml:space="preserve">anagement conducted an evaluation of the effectiveness of our internal control over financial reporting based on the framework in </w:t>
      </w:r>
      <w:r w:rsidR="006F5701" w:rsidRPr="000634A4">
        <w:rPr>
          <w:i/>
          <w:iCs/>
          <w:sz w:val="22"/>
          <w:szCs w:val="22"/>
        </w:rPr>
        <w:t>Internal Control – Integrated Framework (2013) -</w:t>
      </w:r>
      <w:r w:rsidR="006F5701" w:rsidRPr="000634A4">
        <w:rPr>
          <w:sz w:val="22"/>
          <w:szCs w:val="22"/>
        </w:rPr>
        <w:t xml:space="preserve"> issued by the Committee of Sponsoring Organizations of the Treadway Commission (COSO). Based on this evaluation, </w:t>
      </w:r>
      <w:r w:rsidR="006F5701" w:rsidRPr="000634A4">
        <w:rPr>
          <w:sz w:val="22"/>
          <w:szCs w:val="22"/>
        </w:rPr>
        <w:lastRenderedPageBreak/>
        <w:t xml:space="preserve">management concluded that the Company’s internal control over financial reporting was effective as of December 31, </w:t>
      </w:r>
      <w:r w:rsidR="004F7A92" w:rsidRPr="000634A4">
        <w:rPr>
          <w:sz w:val="22"/>
          <w:szCs w:val="22"/>
        </w:rPr>
        <w:t>2022</w:t>
      </w:r>
      <w:r w:rsidR="006F5701" w:rsidRPr="000634A4">
        <w:rPr>
          <w:sz w:val="22"/>
          <w:szCs w:val="22"/>
        </w:rPr>
        <w:t xml:space="preserve">.  </w:t>
      </w:r>
    </w:p>
    <w:p w14:paraId="3AB7BCB6" w14:textId="77777777" w:rsidR="00BA2C2E" w:rsidRPr="000634A4" w:rsidRDefault="00BA2C2E" w:rsidP="00BA2C2E">
      <w:pPr>
        <w:ind w:firstLine="720"/>
        <w:jc w:val="both"/>
        <w:rPr>
          <w:sz w:val="22"/>
          <w:szCs w:val="22"/>
        </w:rPr>
      </w:pPr>
    </w:p>
    <w:p w14:paraId="55567130" w14:textId="77777777" w:rsidR="00A81DCD" w:rsidRPr="000634A4" w:rsidRDefault="00A81DCD" w:rsidP="00A81DCD">
      <w:pPr>
        <w:pStyle w:val="NormalWeb"/>
        <w:spacing w:before="0" w:beforeAutospacing="0" w:after="0" w:afterAutospacing="0"/>
        <w:ind w:firstLine="720"/>
        <w:jc w:val="both"/>
        <w:rPr>
          <w:sz w:val="22"/>
          <w:szCs w:val="22"/>
        </w:rPr>
      </w:pPr>
      <w:r w:rsidRPr="000634A4">
        <w:rPr>
          <w:sz w:val="22"/>
          <w:szCs w:val="22"/>
        </w:rPr>
        <w:t>This Annual Report on Form 10-K does not include an attestation report of our independent registered public accounting firm regarding internal control over financial reporting. Management’s report was not subject to attestation by our independent registered public accounting firm pursuant to rules of the Securities and Exchange Commission that permit us to provide only management’s report in this Annual Report on Form 10-K.</w:t>
      </w:r>
    </w:p>
    <w:bookmarkEnd w:id="41"/>
    <w:p w14:paraId="70411953" w14:textId="77777777" w:rsidR="00A81DCD" w:rsidRPr="000634A4" w:rsidRDefault="00A81DCD" w:rsidP="00A81DCD">
      <w:pPr>
        <w:tabs>
          <w:tab w:val="left" w:pos="-720"/>
        </w:tabs>
        <w:jc w:val="both"/>
        <w:rPr>
          <w:b/>
          <w:sz w:val="22"/>
          <w:szCs w:val="22"/>
        </w:rPr>
      </w:pPr>
    </w:p>
    <w:bookmarkEnd w:id="40"/>
    <w:p w14:paraId="0C756BA8" w14:textId="77777777" w:rsidR="00AE3692" w:rsidRPr="000634A4" w:rsidRDefault="00AE3692" w:rsidP="00AE3692">
      <w:pPr>
        <w:jc w:val="both"/>
        <w:rPr>
          <w:b/>
          <w:bCs/>
          <w:sz w:val="22"/>
          <w:szCs w:val="22"/>
        </w:rPr>
      </w:pPr>
      <w:r w:rsidRPr="000634A4">
        <w:rPr>
          <w:b/>
          <w:bCs/>
          <w:sz w:val="22"/>
          <w:szCs w:val="22"/>
        </w:rPr>
        <w:t>Changes in Internal Control over Financial Reporting</w:t>
      </w:r>
    </w:p>
    <w:p w14:paraId="0FAFD218" w14:textId="7A9ADD2E" w:rsidR="00AE3692" w:rsidRPr="000634A4" w:rsidRDefault="00AE3692" w:rsidP="00AE3692">
      <w:pPr>
        <w:jc w:val="both"/>
        <w:rPr>
          <w:sz w:val="22"/>
          <w:szCs w:val="22"/>
        </w:rPr>
      </w:pPr>
    </w:p>
    <w:p w14:paraId="1D47DCB0" w14:textId="1E6B9150" w:rsidR="009D76F6" w:rsidRPr="000634A4" w:rsidRDefault="009D76F6" w:rsidP="009D76F6">
      <w:pPr>
        <w:ind w:firstLine="720"/>
        <w:jc w:val="both"/>
        <w:rPr>
          <w:sz w:val="22"/>
          <w:szCs w:val="22"/>
        </w:rPr>
      </w:pPr>
      <w:r w:rsidRPr="000634A4">
        <w:rPr>
          <w:sz w:val="22"/>
          <w:szCs w:val="22"/>
        </w:rPr>
        <w:t>There w</w:t>
      </w:r>
      <w:r w:rsidR="00805866" w:rsidRPr="000634A4">
        <w:rPr>
          <w:sz w:val="22"/>
          <w:szCs w:val="22"/>
        </w:rPr>
        <w:t xml:space="preserve">ere no </w:t>
      </w:r>
      <w:r w:rsidRPr="000634A4">
        <w:rPr>
          <w:sz w:val="22"/>
          <w:szCs w:val="22"/>
        </w:rPr>
        <w:t>changes</w:t>
      </w:r>
      <w:r w:rsidR="00805866" w:rsidRPr="000634A4">
        <w:rPr>
          <w:sz w:val="22"/>
          <w:szCs w:val="22"/>
        </w:rPr>
        <w:t xml:space="preserve"> </w:t>
      </w:r>
      <w:r w:rsidRPr="000634A4">
        <w:rPr>
          <w:sz w:val="22"/>
          <w:szCs w:val="22"/>
        </w:rPr>
        <w:t xml:space="preserve">in our internal control over financial reporting (as such term is defined in Rules 13a-15(f) or 15d-15(f) under the Exchange Act) during the </w:t>
      </w:r>
      <w:r w:rsidR="00E756A5" w:rsidRPr="000634A4">
        <w:rPr>
          <w:sz w:val="22"/>
          <w:szCs w:val="22"/>
        </w:rPr>
        <w:t xml:space="preserve">three months </w:t>
      </w:r>
      <w:r w:rsidRPr="000634A4">
        <w:rPr>
          <w:sz w:val="22"/>
          <w:szCs w:val="22"/>
        </w:rPr>
        <w:t xml:space="preserve">ended December 31, </w:t>
      </w:r>
      <w:r w:rsidR="0044373C" w:rsidRPr="000634A4">
        <w:rPr>
          <w:sz w:val="22"/>
          <w:szCs w:val="22"/>
        </w:rPr>
        <w:t xml:space="preserve">2022 </w:t>
      </w:r>
      <w:r w:rsidRPr="000634A4">
        <w:rPr>
          <w:sz w:val="22"/>
          <w:szCs w:val="22"/>
        </w:rPr>
        <w:t xml:space="preserve">that have materially affected, or are reasonably likely to materially affect, our internal control over financial reporting.  </w:t>
      </w:r>
    </w:p>
    <w:p w14:paraId="1FEE8A99" w14:textId="77777777" w:rsidR="009D76F6" w:rsidRPr="000634A4" w:rsidRDefault="009D76F6" w:rsidP="00AE3692">
      <w:pPr>
        <w:jc w:val="both"/>
        <w:rPr>
          <w:sz w:val="22"/>
          <w:szCs w:val="22"/>
        </w:rPr>
      </w:pPr>
    </w:p>
    <w:p w14:paraId="144D3B6E" w14:textId="77777777" w:rsidR="00A81DCD" w:rsidRPr="000634A4" w:rsidRDefault="00A81DCD" w:rsidP="00A81DCD">
      <w:pPr>
        <w:tabs>
          <w:tab w:val="left" w:pos="-720"/>
        </w:tabs>
        <w:jc w:val="both"/>
        <w:rPr>
          <w:b/>
          <w:sz w:val="22"/>
          <w:szCs w:val="22"/>
        </w:rPr>
      </w:pPr>
      <w:r w:rsidRPr="000634A4">
        <w:rPr>
          <w:b/>
          <w:sz w:val="22"/>
          <w:szCs w:val="22"/>
        </w:rPr>
        <w:t>Item 9B.  Other information.</w:t>
      </w:r>
    </w:p>
    <w:p w14:paraId="71ED9957" w14:textId="77777777" w:rsidR="00A81DCD" w:rsidRPr="000634A4" w:rsidRDefault="00A81DCD" w:rsidP="00A81DCD">
      <w:pPr>
        <w:tabs>
          <w:tab w:val="left" w:pos="-720"/>
        </w:tabs>
        <w:jc w:val="both"/>
        <w:rPr>
          <w:b/>
          <w:sz w:val="22"/>
          <w:szCs w:val="22"/>
        </w:rPr>
      </w:pPr>
    </w:p>
    <w:p w14:paraId="43208927" w14:textId="0FF671AE" w:rsidR="00A81DCD" w:rsidRPr="000634A4" w:rsidRDefault="00A81DCD" w:rsidP="00A81DCD">
      <w:pPr>
        <w:tabs>
          <w:tab w:val="left" w:pos="-720"/>
        </w:tabs>
        <w:jc w:val="both"/>
        <w:rPr>
          <w:sz w:val="22"/>
          <w:szCs w:val="22"/>
        </w:rPr>
      </w:pPr>
      <w:r w:rsidRPr="000634A4">
        <w:rPr>
          <w:sz w:val="22"/>
          <w:szCs w:val="22"/>
        </w:rPr>
        <w:tab/>
        <w:t>None.</w:t>
      </w:r>
    </w:p>
    <w:p w14:paraId="7C73E5D1" w14:textId="5E150FA1" w:rsidR="00AA6FA0" w:rsidRPr="000634A4" w:rsidRDefault="00AA6FA0" w:rsidP="00A81DCD">
      <w:pPr>
        <w:tabs>
          <w:tab w:val="left" w:pos="-720"/>
        </w:tabs>
        <w:jc w:val="both"/>
        <w:rPr>
          <w:sz w:val="22"/>
          <w:szCs w:val="22"/>
        </w:rPr>
      </w:pPr>
    </w:p>
    <w:p w14:paraId="690584B4" w14:textId="676A3A3B" w:rsidR="00AA6FA0" w:rsidRPr="000634A4" w:rsidRDefault="00AA6FA0" w:rsidP="00A81DCD">
      <w:pPr>
        <w:tabs>
          <w:tab w:val="left" w:pos="-720"/>
        </w:tabs>
        <w:jc w:val="both"/>
        <w:rPr>
          <w:b/>
          <w:sz w:val="22"/>
          <w:szCs w:val="22"/>
        </w:rPr>
      </w:pPr>
      <w:r w:rsidRPr="000634A4">
        <w:rPr>
          <w:b/>
          <w:sz w:val="22"/>
          <w:szCs w:val="22"/>
        </w:rPr>
        <w:t xml:space="preserve">Item 9C. </w:t>
      </w:r>
      <w:r w:rsidR="00001F91" w:rsidRPr="000634A4">
        <w:rPr>
          <w:sz w:val="22"/>
          <w:szCs w:val="22"/>
        </w:rPr>
        <w:t xml:space="preserve"> </w:t>
      </w:r>
      <w:r w:rsidR="00001F91" w:rsidRPr="000634A4">
        <w:rPr>
          <w:b/>
          <w:bCs/>
          <w:sz w:val="22"/>
          <w:szCs w:val="22"/>
        </w:rPr>
        <w:t>Disclosure Regarding Foreign Jurisdictions that Prevent Inspections</w:t>
      </w:r>
    </w:p>
    <w:p w14:paraId="516F91BF" w14:textId="0ECCA9D8" w:rsidR="00AA6FA0" w:rsidRPr="000634A4" w:rsidRDefault="00AA6FA0" w:rsidP="00A81DCD">
      <w:pPr>
        <w:tabs>
          <w:tab w:val="left" w:pos="-720"/>
        </w:tabs>
        <w:jc w:val="both"/>
        <w:rPr>
          <w:sz w:val="22"/>
          <w:szCs w:val="22"/>
        </w:rPr>
      </w:pPr>
      <w:r w:rsidRPr="000634A4">
        <w:rPr>
          <w:sz w:val="22"/>
          <w:szCs w:val="22"/>
        </w:rPr>
        <w:tab/>
      </w:r>
    </w:p>
    <w:p w14:paraId="5C9C8029" w14:textId="4AE772F1" w:rsidR="00AA6FA0" w:rsidRPr="000634A4" w:rsidRDefault="00AA6FA0" w:rsidP="00A81DCD">
      <w:pPr>
        <w:tabs>
          <w:tab w:val="left" w:pos="-720"/>
        </w:tabs>
        <w:jc w:val="both"/>
        <w:rPr>
          <w:sz w:val="22"/>
          <w:szCs w:val="22"/>
        </w:rPr>
      </w:pPr>
      <w:r w:rsidRPr="000634A4">
        <w:rPr>
          <w:sz w:val="22"/>
          <w:szCs w:val="22"/>
        </w:rPr>
        <w:tab/>
        <w:t>None.</w:t>
      </w:r>
    </w:p>
    <w:p w14:paraId="22656E8D" w14:textId="0FF7D1CC" w:rsidR="00094F06" w:rsidRPr="000634A4" w:rsidRDefault="00094F06" w:rsidP="00A81DCD">
      <w:pPr>
        <w:tabs>
          <w:tab w:val="left" w:pos="-720"/>
        </w:tabs>
        <w:jc w:val="center"/>
        <w:rPr>
          <w:b/>
          <w:sz w:val="22"/>
          <w:szCs w:val="22"/>
          <w:u w:val="single"/>
        </w:rPr>
      </w:pPr>
    </w:p>
    <w:p w14:paraId="27D21EE1" w14:textId="475E17D5" w:rsidR="00A81DCD" w:rsidRPr="000634A4" w:rsidRDefault="00805866" w:rsidP="00A81DCD">
      <w:pPr>
        <w:tabs>
          <w:tab w:val="left" w:pos="-720"/>
        </w:tabs>
        <w:jc w:val="center"/>
        <w:rPr>
          <w:sz w:val="22"/>
          <w:szCs w:val="22"/>
        </w:rPr>
      </w:pPr>
      <w:bookmarkStart w:id="42" w:name="_Hlk95223960"/>
      <w:r w:rsidRPr="000634A4">
        <w:rPr>
          <w:b/>
          <w:sz w:val="22"/>
          <w:szCs w:val="22"/>
          <w:u w:val="single"/>
        </w:rPr>
        <w:t>P</w:t>
      </w:r>
      <w:r w:rsidR="00A81DCD" w:rsidRPr="000634A4">
        <w:rPr>
          <w:b/>
          <w:sz w:val="22"/>
          <w:szCs w:val="22"/>
          <w:u w:val="single"/>
        </w:rPr>
        <w:t>ART III</w:t>
      </w:r>
    </w:p>
    <w:p w14:paraId="42F76645" w14:textId="77777777" w:rsidR="00A81DCD" w:rsidRPr="000634A4" w:rsidRDefault="00A81DCD" w:rsidP="00A81DCD">
      <w:pPr>
        <w:tabs>
          <w:tab w:val="left" w:pos="-720"/>
        </w:tabs>
        <w:jc w:val="both"/>
        <w:rPr>
          <w:sz w:val="22"/>
          <w:szCs w:val="22"/>
        </w:rPr>
      </w:pPr>
    </w:p>
    <w:p w14:paraId="281B3850" w14:textId="77777777" w:rsidR="00A81DCD" w:rsidRPr="000634A4" w:rsidRDefault="00A81DCD" w:rsidP="00A81DCD">
      <w:pPr>
        <w:tabs>
          <w:tab w:val="left" w:pos="-720"/>
          <w:tab w:val="left" w:pos="1440"/>
        </w:tabs>
        <w:jc w:val="both"/>
        <w:rPr>
          <w:sz w:val="22"/>
          <w:szCs w:val="22"/>
        </w:rPr>
      </w:pPr>
      <w:r w:rsidRPr="000634A4">
        <w:rPr>
          <w:b/>
          <w:sz w:val="22"/>
          <w:szCs w:val="22"/>
        </w:rPr>
        <w:t>Item 10.  Directors, Executive Officers and Corporate Governance.</w:t>
      </w:r>
    </w:p>
    <w:p w14:paraId="374C2756" w14:textId="77777777" w:rsidR="00A81DCD" w:rsidRPr="000634A4" w:rsidRDefault="00A81DCD" w:rsidP="00A81DCD">
      <w:pPr>
        <w:pStyle w:val="NormalWeb"/>
        <w:spacing w:before="0" w:beforeAutospacing="0" w:after="0" w:afterAutospacing="0"/>
        <w:ind w:firstLine="720"/>
        <w:jc w:val="both"/>
        <w:rPr>
          <w:sz w:val="22"/>
          <w:szCs w:val="22"/>
        </w:rPr>
      </w:pPr>
    </w:p>
    <w:p w14:paraId="7F8DD2A6" w14:textId="51A7FAA0" w:rsidR="00533D48" w:rsidRPr="000634A4" w:rsidRDefault="00533D48" w:rsidP="00533D48">
      <w:pPr>
        <w:ind w:left="90" w:firstLine="630"/>
        <w:jc w:val="both"/>
        <w:rPr>
          <w:sz w:val="22"/>
          <w:szCs w:val="22"/>
        </w:rPr>
      </w:pPr>
      <w:r w:rsidRPr="000634A4">
        <w:rPr>
          <w:sz w:val="22"/>
          <w:szCs w:val="22"/>
        </w:rPr>
        <w:t>The information called for by Items 401, 405,</w:t>
      </w:r>
      <w:r w:rsidR="00CD2B8E" w:rsidRPr="000634A4">
        <w:rPr>
          <w:sz w:val="22"/>
          <w:szCs w:val="22"/>
        </w:rPr>
        <w:t xml:space="preserve"> if required,</w:t>
      </w:r>
      <w:r w:rsidRPr="000634A4">
        <w:rPr>
          <w:sz w:val="22"/>
          <w:szCs w:val="22"/>
        </w:rPr>
        <w:t xml:space="preserve"> and 407(c)(3), (d)(4) and (d)(5) of Regulation S-K</w:t>
      </w:r>
      <w:r w:rsidR="00393419" w:rsidRPr="000634A4">
        <w:rPr>
          <w:sz w:val="22"/>
          <w:szCs w:val="22"/>
        </w:rPr>
        <w:t>, including information about our directors and executive officers,</w:t>
      </w:r>
      <w:r w:rsidRPr="000634A4">
        <w:rPr>
          <w:sz w:val="22"/>
          <w:szCs w:val="22"/>
        </w:rPr>
        <w:t xml:space="preserve"> is incorporated by reference from the Company’s definitive proxy statement for the </w:t>
      </w:r>
      <w:r w:rsidR="005E57AA" w:rsidRPr="000634A4">
        <w:rPr>
          <w:sz w:val="22"/>
          <w:szCs w:val="22"/>
        </w:rPr>
        <w:t>202</w:t>
      </w:r>
      <w:r w:rsidR="0097467E" w:rsidRPr="000634A4">
        <w:rPr>
          <w:sz w:val="22"/>
          <w:szCs w:val="22"/>
        </w:rPr>
        <w:t>2</w:t>
      </w:r>
      <w:r w:rsidR="005E57AA" w:rsidRPr="000634A4">
        <w:rPr>
          <w:sz w:val="22"/>
          <w:szCs w:val="22"/>
        </w:rPr>
        <w:t xml:space="preserve"> </w:t>
      </w:r>
      <w:r w:rsidRPr="000634A4">
        <w:rPr>
          <w:sz w:val="22"/>
          <w:szCs w:val="22"/>
        </w:rPr>
        <w:t>Annual Meeting of Stockholders to be filed pursuant to Regulation 14A under the Exchange Act no later than 120 days after the end of the Company’s 20</w:t>
      </w:r>
      <w:r w:rsidR="005F2A77" w:rsidRPr="000634A4">
        <w:rPr>
          <w:sz w:val="22"/>
          <w:szCs w:val="22"/>
        </w:rPr>
        <w:t>2</w:t>
      </w:r>
      <w:r w:rsidR="0097467E" w:rsidRPr="000634A4">
        <w:rPr>
          <w:sz w:val="22"/>
          <w:szCs w:val="22"/>
        </w:rPr>
        <w:t>2</w:t>
      </w:r>
      <w:r w:rsidRPr="000634A4">
        <w:rPr>
          <w:sz w:val="22"/>
          <w:szCs w:val="22"/>
        </w:rPr>
        <w:t xml:space="preserve"> fiscal year.</w:t>
      </w:r>
    </w:p>
    <w:p w14:paraId="7ED72449" w14:textId="77777777" w:rsidR="00A81DCD" w:rsidRPr="000634A4" w:rsidRDefault="00A81DCD" w:rsidP="00A81DCD">
      <w:pPr>
        <w:pStyle w:val="NormalWeb"/>
        <w:spacing w:before="0" w:beforeAutospacing="0" w:after="0" w:afterAutospacing="0"/>
        <w:ind w:firstLine="720"/>
        <w:jc w:val="both"/>
        <w:rPr>
          <w:sz w:val="22"/>
          <w:szCs w:val="22"/>
        </w:rPr>
      </w:pPr>
    </w:p>
    <w:p w14:paraId="1E97F9A3" w14:textId="60B89C8B" w:rsidR="00A81DCD" w:rsidRPr="000634A4" w:rsidRDefault="00A81DCD" w:rsidP="00F51689">
      <w:pPr>
        <w:ind w:left="90" w:firstLine="630"/>
        <w:jc w:val="both"/>
        <w:rPr>
          <w:sz w:val="22"/>
          <w:szCs w:val="22"/>
        </w:rPr>
      </w:pPr>
      <w:r w:rsidRPr="000634A4">
        <w:rPr>
          <w:sz w:val="22"/>
          <w:szCs w:val="22"/>
        </w:rPr>
        <w:t xml:space="preserve">The Company has a code of ethics that applies to all of its employees, officers, and directors, including its principal executive officer, principal financial officer, </w:t>
      </w:r>
      <w:r w:rsidR="00393419" w:rsidRPr="000634A4">
        <w:rPr>
          <w:sz w:val="22"/>
          <w:szCs w:val="22"/>
        </w:rPr>
        <w:t xml:space="preserve">principal accounting officer </w:t>
      </w:r>
      <w:r w:rsidRPr="000634A4">
        <w:rPr>
          <w:sz w:val="22"/>
          <w:szCs w:val="22"/>
        </w:rPr>
        <w:t>and corporate controller. The text of the Company’s code of ethics is posted on its website at www.innodata.com. The Company intends to disclose future amendments to, or waivers from, certain provisions of the code of ethics for executive officers and directors in accordance with applicable Nasdaq and SEC requirements.</w:t>
      </w:r>
    </w:p>
    <w:bookmarkEnd w:id="42"/>
    <w:p w14:paraId="47509218" w14:textId="77777777" w:rsidR="00A81DCD" w:rsidRPr="000634A4" w:rsidRDefault="00A81DCD" w:rsidP="00A81DCD">
      <w:pPr>
        <w:pStyle w:val="NormalWeb"/>
        <w:spacing w:before="0" w:beforeAutospacing="0" w:after="0" w:afterAutospacing="0"/>
        <w:rPr>
          <w:sz w:val="22"/>
          <w:szCs w:val="22"/>
        </w:rPr>
      </w:pPr>
    </w:p>
    <w:p w14:paraId="79017F2D" w14:textId="77777777" w:rsidR="00A81DCD" w:rsidRPr="000634A4" w:rsidRDefault="00A81DCD" w:rsidP="00A81DCD">
      <w:pPr>
        <w:tabs>
          <w:tab w:val="left" w:pos="-720"/>
        </w:tabs>
        <w:jc w:val="both"/>
        <w:outlineLvl w:val="0"/>
        <w:rPr>
          <w:b/>
          <w:sz w:val="22"/>
          <w:szCs w:val="22"/>
        </w:rPr>
      </w:pPr>
      <w:r w:rsidRPr="000634A4">
        <w:rPr>
          <w:b/>
          <w:sz w:val="22"/>
          <w:szCs w:val="22"/>
        </w:rPr>
        <w:t>Item 11.  Executive Compensation.</w:t>
      </w:r>
    </w:p>
    <w:p w14:paraId="4978E718" w14:textId="77777777" w:rsidR="00A81DCD" w:rsidRPr="000634A4" w:rsidRDefault="00A81DCD" w:rsidP="00A81DCD">
      <w:pPr>
        <w:tabs>
          <w:tab w:val="left" w:pos="-720"/>
        </w:tabs>
        <w:jc w:val="both"/>
        <w:outlineLvl w:val="0"/>
        <w:rPr>
          <w:sz w:val="22"/>
          <w:szCs w:val="22"/>
        </w:rPr>
      </w:pPr>
    </w:p>
    <w:p w14:paraId="3E466666" w14:textId="1844F752" w:rsidR="00A81DCD" w:rsidRPr="000634A4" w:rsidRDefault="00A81DCD" w:rsidP="00A81DCD">
      <w:pPr>
        <w:ind w:left="90" w:firstLine="630"/>
        <w:jc w:val="both"/>
        <w:rPr>
          <w:sz w:val="22"/>
          <w:szCs w:val="22"/>
        </w:rPr>
      </w:pPr>
      <w:r w:rsidRPr="000634A4">
        <w:rPr>
          <w:sz w:val="22"/>
          <w:szCs w:val="22"/>
        </w:rPr>
        <w:t xml:space="preserve">The information called for by Item 11 is incorporated by reference from the Company’s definitive proxy statement for the </w:t>
      </w:r>
      <w:r w:rsidR="00D002D7" w:rsidRPr="000634A4">
        <w:rPr>
          <w:sz w:val="22"/>
          <w:szCs w:val="22"/>
        </w:rPr>
        <w:t>202</w:t>
      </w:r>
      <w:r w:rsidR="0097467E" w:rsidRPr="000634A4">
        <w:rPr>
          <w:sz w:val="22"/>
          <w:szCs w:val="22"/>
        </w:rPr>
        <w:t>3</w:t>
      </w:r>
      <w:r w:rsidR="00D002D7" w:rsidRPr="000634A4">
        <w:rPr>
          <w:sz w:val="22"/>
          <w:szCs w:val="22"/>
        </w:rPr>
        <w:t xml:space="preserve"> </w:t>
      </w:r>
      <w:r w:rsidRPr="000634A4">
        <w:rPr>
          <w:sz w:val="22"/>
          <w:szCs w:val="22"/>
        </w:rPr>
        <w:t>Annual Meeting of Stockholders to be filed pursuant to Regulation 14A under the Exchange Act no later than 120 days after the end of the Company’s 20</w:t>
      </w:r>
      <w:r w:rsidR="005F2A77" w:rsidRPr="000634A4">
        <w:rPr>
          <w:sz w:val="22"/>
          <w:szCs w:val="22"/>
        </w:rPr>
        <w:t>2</w:t>
      </w:r>
      <w:r w:rsidR="0097467E" w:rsidRPr="000634A4">
        <w:rPr>
          <w:sz w:val="22"/>
          <w:szCs w:val="22"/>
        </w:rPr>
        <w:t xml:space="preserve">2 </w:t>
      </w:r>
      <w:r w:rsidRPr="000634A4">
        <w:rPr>
          <w:sz w:val="22"/>
          <w:szCs w:val="22"/>
        </w:rPr>
        <w:t>fiscal year.</w:t>
      </w:r>
    </w:p>
    <w:p w14:paraId="2DD3395D" w14:textId="77777777" w:rsidR="00A81DCD" w:rsidRPr="000634A4" w:rsidRDefault="00A81DCD" w:rsidP="00A81DCD">
      <w:pPr>
        <w:tabs>
          <w:tab w:val="left" w:pos="-720"/>
        </w:tabs>
        <w:jc w:val="both"/>
        <w:rPr>
          <w:b/>
          <w:sz w:val="22"/>
          <w:szCs w:val="22"/>
        </w:rPr>
      </w:pPr>
    </w:p>
    <w:p w14:paraId="1B4C6441" w14:textId="77777777" w:rsidR="00A81DCD" w:rsidRPr="000634A4" w:rsidRDefault="00A81DCD" w:rsidP="00A81DCD">
      <w:pPr>
        <w:tabs>
          <w:tab w:val="left" w:pos="-720"/>
          <w:tab w:val="left" w:pos="900"/>
        </w:tabs>
        <w:jc w:val="both"/>
        <w:rPr>
          <w:b/>
          <w:sz w:val="22"/>
          <w:szCs w:val="22"/>
        </w:rPr>
      </w:pPr>
      <w:r w:rsidRPr="000634A4">
        <w:rPr>
          <w:b/>
          <w:sz w:val="22"/>
          <w:szCs w:val="22"/>
        </w:rPr>
        <w:t>Item 12.  Security Ownership of Certain Beneficial Owners and Management and Related Stockholder Matters.</w:t>
      </w:r>
    </w:p>
    <w:p w14:paraId="5CAEBF51" w14:textId="77777777" w:rsidR="00A81DCD" w:rsidRPr="000634A4" w:rsidRDefault="00A81DCD" w:rsidP="00A81DCD">
      <w:pPr>
        <w:tabs>
          <w:tab w:val="left" w:pos="-720"/>
        </w:tabs>
        <w:jc w:val="both"/>
        <w:outlineLvl w:val="0"/>
        <w:rPr>
          <w:b/>
          <w:sz w:val="22"/>
          <w:szCs w:val="22"/>
        </w:rPr>
      </w:pPr>
    </w:p>
    <w:p w14:paraId="36EE7EFC" w14:textId="6D6D1584" w:rsidR="00533D48" w:rsidRPr="000634A4" w:rsidRDefault="00533D48" w:rsidP="00533D48">
      <w:pPr>
        <w:ind w:left="90" w:firstLine="630"/>
        <w:jc w:val="both"/>
        <w:rPr>
          <w:sz w:val="22"/>
          <w:szCs w:val="22"/>
        </w:rPr>
      </w:pPr>
      <w:r w:rsidRPr="000634A4">
        <w:rPr>
          <w:sz w:val="22"/>
          <w:szCs w:val="22"/>
          <w:shd w:val="clear" w:color="auto" w:fill="FFFFFF"/>
        </w:rPr>
        <w:t xml:space="preserve">The information required by this Item regarding the Company’s equity compensation plans is set forth in Part II, Item 5 of this Annual Report on Form 10-K under the caption “Securities Authorized for Issuance Under Equity Compensation Plans” and is incorporated by reference herein. </w:t>
      </w:r>
      <w:r w:rsidRPr="000634A4">
        <w:rPr>
          <w:sz w:val="22"/>
          <w:szCs w:val="22"/>
        </w:rPr>
        <w:t>The information called for under Item 4</w:t>
      </w:r>
      <w:r w:rsidRPr="000634A4">
        <w:t>03</w:t>
      </w:r>
      <w:r w:rsidRPr="000634A4">
        <w:rPr>
          <w:sz w:val="22"/>
          <w:szCs w:val="22"/>
        </w:rPr>
        <w:t xml:space="preserve"> of Regulation S-K by Item 12 is incorporated by reference from the Company’s definitive proxy </w:t>
      </w:r>
      <w:r w:rsidRPr="000634A4">
        <w:rPr>
          <w:sz w:val="22"/>
          <w:szCs w:val="22"/>
        </w:rPr>
        <w:lastRenderedPageBreak/>
        <w:t xml:space="preserve">statement for the </w:t>
      </w:r>
      <w:r w:rsidR="00D002D7" w:rsidRPr="000634A4">
        <w:rPr>
          <w:sz w:val="22"/>
          <w:szCs w:val="22"/>
        </w:rPr>
        <w:t>202</w:t>
      </w:r>
      <w:r w:rsidR="0097467E" w:rsidRPr="000634A4">
        <w:rPr>
          <w:sz w:val="22"/>
          <w:szCs w:val="22"/>
        </w:rPr>
        <w:t>3</w:t>
      </w:r>
      <w:r w:rsidR="00D002D7" w:rsidRPr="000634A4">
        <w:rPr>
          <w:sz w:val="22"/>
          <w:szCs w:val="22"/>
        </w:rPr>
        <w:t xml:space="preserve"> </w:t>
      </w:r>
      <w:r w:rsidRPr="000634A4">
        <w:rPr>
          <w:sz w:val="22"/>
          <w:szCs w:val="22"/>
        </w:rPr>
        <w:t>Annual Meeting of Stockholders to be filed pursuant to Regulation 14A under the Exchange Act no later than 120 days after the end of the Company’s 20</w:t>
      </w:r>
      <w:r w:rsidR="00912F47" w:rsidRPr="000634A4">
        <w:rPr>
          <w:sz w:val="22"/>
          <w:szCs w:val="22"/>
        </w:rPr>
        <w:t>2</w:t>
      </w:r>
      <w:r w:rsidR="0097467E" w:rsidRPr="000634A4">
        <w:rPr>
          <w:sz w:val="22"/>
          <w:szCs w:val="22"/>
        </w:rPr>
        <w:t>2</w:t>
      </w:r>
      <w:r w:rsidRPr="000634A4">
        <w:rPr>
          <w:sz w:val="22"/>
          <w:szCs w:val="22"/>
        </w:rPr>
        <w:t xml:space="preserve"> fiscal year. </w:t>
      </w:r>
    </w:p>
    <w:p w14:paraId="768A6D59" w14:textId="77777777" w:rsidR="00787962" w:rsidRPr="000634A4" w:rsidRDefault="00787962" w:rsidP="00A81DCD">
      <w:pPr>
        <w:tabs>
          <w:tab w:val="left" w:pos="-720"/>
        </w:tabs>
        <w:jc w:val="both"/>
        <w:outlineLvl w:val="0"/>
        <w:rPr>
          <w:b/>
          <w:sz w:val="22"/>
          <w:szCs w:val="22"/>
        </w:rPr>
      </w:pPr>
    </w:p>
    <w:p w14:paraId="3791ED70" w14:textId="77777777" w:rsidR="00A81DCD" w:rsidRPr="000634A4" w:rsidRDefault="00A81DCD" w:rsidP="00A81DCD">
      <w:pPr>
        <w:jc w:val="both"/>
        <w:rPr>
          <w:b/>
          <w:sz w:val="22"/>
          <w:szCs w:val="22"/>
        </w:rPr>
      </w:pPr>
      <w:r w:rsidRPr="000634A4">
        <w:rPr>
          <w:b/>
          <w:sz w:val="22"/>
          <w:szCs w:val="22"/>
        </w:rPr>
        <w:t>Item 13.  Certain Relationships and Related Transactions, and Director Independence.</w:t>
      </w:r>
    </w:p>
    <w:p w14:paraId="744EB022" w14:textId="77777777" w:rsidR="00A81DCD" w:rsidRPr="000634A4" w:rsidRDefault="00A81DCD" w:rsidP="00A81DCD">
      <w:pPr>
        <w:ind w:left="90" w:firstLine="630"/>
        <w:jc w:val="both"/>
        <w:rPr>
          <w:sz w:val="22"/>
          <w:szCs w:val="22"/>
        </w:rPr>
      </w:pPr>
    </w:p>
    <w:p w14:paraId="09C80F60" w14:textId="6685CC39" w:rsidR="00A81DCD" w:rsidRPr="000634A4" w:rsidRDefault="00A81DCD" w:rsidP="00A81DCD">
      <w:pPr>
        <w:ind w:left="90" w:firstLine="630"/>
        <w:jc w:val="both"/>
        <w:rPr>
          <w:sz w:val="22"/>
          <w:szCs w:val="22"/>
        </w:rPr>
      </w:pPr>
      <w:r w:rsidRPr="000634A4">
        <w:rPr>
          <w:sz w:val="22"/>
          <w:szCs w:val="22"/>
        </w:rPr>
        <w:t xml:space="preserve">The information called for by Item 13 is incorporated by reference from the Company’s definitive proxy statement for the </w:t>
      </w:r>
      <w:r w:rsidR="0097467E" w:rsidRPr="000634A4">
        <w:rPr>
          <w:sz w:val="22"/>
          <w:szCs w:val="22"/>
        </w:rPr>
        <w:t xml:space="preserve">2023 </w:t>
      </w:r>
      <w:r w:rsidRPr="000634A4">
        <w:rPr>
          <w:sz w:val="22"/>
          <w:szCs w:val="22"/>
        </w:rPr>
        <w:t>Annual Meeting of Stockholders to be filed pursuant to Regulation 14A under the Exchange Act no later than 120 days after the end of the Company’s 20</w:t>
      </w:r>
      <w:r w:rsidR="005F2A77" w:rsidRPr="000634A4">
        <w:rPr>
          <w:sz w:val="22"/>
          <w:szCs w:val="22"/>
        </w:rPr>
        <w:t>2</w:t>
      </w:r>
      <w:r w:rsidR="0097467E" w:rsidRPr="000634A4">
        <w:rPr>
          <w:sz w:val="22"/>
          <w:szCs w:val="22"/>
        </w:rPr>
        <w:t>2</w:t>
      </w:r>
      <w:r w:rsidRPr="000634A4">
        <w:rPr>
          <w:sz w:val="22"/>
          <w:szCs w:val="22"/>
        </w:rPr>
        <w:t xml:space="preserve"> fiscal year. </w:t>
      </w:r>
    </w:p>
    <w:p w14:paraId="5B0295A3" w14:textId="77777777" w:rsidR="00A81DCD" w:rsidRPr="000634A4" w:rsidRDefault="00A81DCD" w:rsidP="00A81DCD">
      <w:pPr>
        <w:ind w:left="90" w:firstLine="630"/>
        <w:jc w:val="both"/>
        <w:rPr>
          <w:sz w:val="22"/>
          <w:szCs w:val="22"/>
        </w:rPr>
      </w:pPr>
    </w:p>
    <w:p w14:paraId="0D337E29" w14:textId="54F52331" w:rsidR="00A81DCD" w:rsidRPr="000634A4" w:rsidRDefault="00A81DCD" w:rsidP="00A81DCD">
      <w:pPr>
        <w:tabs>
          <w:tab w:val="left" w:pos="720"/>
        </w:tabs>
        <w:jc w:val="both"/>
        <w:rPr>
          <w:b/>
          <w:sz w:val="22"/>
          <w:szCs w:val="22"/>
        </w:rPr>
      </w:pPr>
      <w:r w:rsidRPr="000634A4">
        <w:rPr>
          <w:b/>
          <w:sz w:val="22"/>
          <w:szCs w:val="22"/>
        </w:rPr>
        <w:t xml:space="preserve">Item 14.  Principal </w:t>
      </w:r>
      <w:r w:rsidR="003E2A0C" w:rsidRPr="000634A4">
        <w:rPr>
          <w:b/>
          <w:sz w:val="22"/>
          <w:szCs w:val="22"/>
        </w:rPr>
        <w:t xml:space="preserve">Accountant’s </w:t>
      </w:r>
      <w:r w:rsidRPr="000634A4">
        <w:rPr>
          <w:b/>
          <w:sz w:val="22"/>
          <w:szCs w:val="22"/>
        </w:rPr>
        <w:t>Fees and Services.</w:t>
      </w:r>
    </w:p>
    <w:p w14:paraId="0B7BAC9C" w14:textId="77777777" w:rsidR="00A81DCD" w:rsidRPr="000634A4" w:rsidRDefault="00A81DCD" w:rsidP="00A81DCD">
      <w:pPr>
        <w:tabs>
          <w:tab w:val="left" w:pos="720"/>
        </w:tabs>
        <w:jc w:val="both"/>
        <w:rPr>
          <w:sz w:val="22"/>
          <w:szCs w:val="22"/>
        </w:rPr>
      </w:pPr>
    </w:p>
    <w:p w14:paraId="22999B9D" w14:textId="1C2E4C97" w:rsidR="00A81DCD" w:rsidRPr="000634A4" w:rsidRDefault="00A81DCD" w:rsidP="00A81DCD">
      <w:pPr>
        <w:ind w:left="90" w:firstLine="630"/>
        <w:jc w:val="both"/>
        <w:rPr>
          <w:sz w:val="22"/>
          <w:szCs w:val="22"/>
        </w:rPr>
      </w:pPr>
      <w:r w:rsidRPr="000634A4">
        <w:rPr>
          <w:sz w:val="22"/>
          <w:szCs w:val="22"/>
        </w:rPr>
        <w:t xml:space="preserve">The information called for by Item 14 is incorporated by reference from the Company’s definitive proxy statement for the </w:t>
      </w:r>
      <w:r w:rsidR="00D002D7" w:rsidRPr="000634A4">
        <w:rPr>
          <w:sz w:val="22"/>
          <w:szCs w:val="22"/>
        </w:rPr>
        <w:t>202</w:t>
      </w:r>
      <w:r w:rsidR="0097467E" w:rsidRPr="000634A4">
        <w:rPr>
          <w:sz w:val="22"/>
          <w:szCs w:val="22"/>
        </w:rPr>
        <w:t>3</w:t>
      </w:r>
      <w:r w:rsidR="00D002D7" w:rsidRPr="000634A4">
        <w:rPr>
          <w:sz w:val="22"/>
          <w:szCs w:val="22"/>
        </w:rPr>
        <w:t xml:space="preserve"> </w:t>
      </w:r>
      <w:r w:rsidRPr="000634A4">
        <w:rPr>
          <w:sz w:val="22"/>
          <w:szCs w:val="22"/>
        </w:rPr>
        <w:t>Annual Meeting of Stockholders to be filed pursuant to Regulation 14A under the Exchange Act no later than 120 days after the end of the Company’s 20</w:t>
      </w:r>
      <w:r w:rsidR="005F2A77" w:rsidRPr="000634A4">
        <w:rPr>
          <w:sz w:val="22"/>
          <w:szCs w:val="22"/>
        </w:rPr>
        <w:t>2</w:t>
      </w:r>
      <w:r w:rsidR="0097467E" w:rsidRPr="000634A4">
        <w:rPr>
          <w:sz w:val="22"/>
          <w:szCs w:val="22"/>
        </w:rPr>
        <w:t>2</w:t>
      </w:r>
      <w:r w:rsidRPr="000634A4">
        <w:rPr>
          <w:sz w:val="22"/>
          <w:szCs w:val="22"/>
        </w:rPr>
        <w:t xml:space="preserve"> fiscal year.</w:t>
      </w:r>
    </w:p>
    <w:p w14:paraId="79F39FB0" w14:textId="22436114" w:rsidR="00A81DCD" w:rsidRPr="000634A4" w:rsidRDefault="00A81DCD" w:rsidP="00A81DCD">
      <w:pPr>
        <w:tabs>
          <w:tab w:val="left" w:pos="-720"/>
        </w:tabs>
        <w:jc w:val="both"/>
        <w:rPr>
          <w:b/>
          <w:sz w:val="22"/>
          <w:szCs w:val="22"/>
        </w:rPr>
      </w:pPr>
    </w:p>
    <w:p w14:paraId="235DE891" w14:textId="77777777" w:rsidR="004E6926" w:rsidRPr="000634A4" w:rsidRDefault="004E6926">
      <w:pPr>
        <w:rPr>
          <w:b/>
          <w:sz w:val="22"/>
          <w:szCs w:val="22"/>
        </w:rPr>
      </w:pPr>
      <w:r w:rsidRPr="000634A4">
        <w:rPr>
          <w:b/>
          <w:sz w:val="22"/>
          <w:szCs w:val="22"/>
        </w:rPr>
        <w:br w:type="page"/>
      </w:r>
    </w:p>
    <w:p w14:paraId="7147DB25" w14:textId="12D57E60" w:rsidR="00A81DCD" w:rsidRPr="000634A4" w:rsidRDefault="00A81DCD" w:rsidP="00A81DCD">
      <w:pPr>
        <w:pStyle w:val="NormalWeb"/>
        <w:spacing w:before="0" w:beforeAutospacing="0" w:after="0" w:afterAutospacing="0"/>
        <w:jc w:val="center"/>
        <w:rPr>
          <w:b/>
          <w:sz w:val="22"/>
          <w:szCs w:val="22"/>
        </w:rPr>
      </w:pPr>
      <w:r w:rsidRPr="000634A4">
        <w:rPr>
          <w:b/>
          <w:sz w:val="22"/>
          <w:szCs w:val="22"/>
        </w:rPr>
        <w:lastRenderedPageBreak/>
        <w:t>PART IV</w:t>
      </w:r>
    </w:p>
    <w:p w14:paraId="6CAF07E9" w14:textId="77777777" w:rsidR="00A81DCD" w:rsidRPr="000634A4" w:rsidRDefault="00A81DCD" w:rsidP="00A81DCD">
      <w:pPr>
        <w:tabs>
          <w:tab w:val="left" w:pos="-720"/>
        </w:tabs>
        <w:jc w:val="center"/>
        <w:rPr>
          <w:b/>
          <w:sz w:val="22"/>
          <w:szCs w:val="22"/>
        </w:rPr>
      </w:pPr>
    </w:p>
    <w:p w14:paraId="11CF5E06" w14:textId="30C064A8" w:rsidR="00A81DCD" w:rsidRPr="000634A4" w:rsidRDefault="00A81DCD" w:rsidP="00A81DCD">
      <w:pPr>
        <w:tabs>
          <w:tab w:val="left" w:pos="-720"/>
        </w:tabs>
        <w:jc w:val="both"/>
        <w:outlineLvl w:val="0"/>
        <w:rPr>
          <w:sz w:val="22"/>
          <w:szCs w:val="22"/>
        </w:rPr>
      </w:pPr>
      <w:r w:rsidRPr="000634A4">
        <w:rPr>
          <w:b/>
          <w:sz w:val="22"/>
          <w:szCs w:val="22"/>
        </w:rPr>
        <w:t>Item 15. Exhibits</w:t>
      </w:r>
      <w:r w:rsidR="0070478A" w:rsidRPr="000634A4">
        <w:rPr>
          <w:b/>
          <w:sz w:val="22"/>
          <w:szCs w:val="22"/>
        </w:rPr>
        <w:t xml:space="preserve"> and </w:t>
      </w:r>
      <w:r w:rsidRPr="000634A4">
        <w:rPr>
          <w:b/>
          <w:sz w:val="22"/>
          <w:szCs w:val="22"/>
        </w:rPr>
        <w:t>Financial Statement Schedules.</w:t>
      </w:r>
    </w:p>
    <w:p w14:paraId="5B56C0B4" w14:textId="77777777" w:rsidR="00A81DCD" w:rsidRPr="000634A4" w:rsidRDefault="00A81DCD" w:rsidP="00A81DCD">
      <w:pPr>
        <w:tabs>
          <w:tab w:val="left" w:pos="-720"/>
        </w:tabs>
        <w:jc w:val="both"/>
        <w:rPr>
          <w:sz w:val="22"/>
          <w:szCs w:val="22"/>
        </w:rPr>
      </w:pPr>
    </w:p>
    <w:p w14:paraId="2A2B9FE5" w14:textId="77777777" w:rsidR="00AA18A6" w:rsidRPr="000634A4" w:rsidRDefault="00AA18A6" w:rsidP="00AA18A6">
      <w:pPr>
        <w:tabs>
          <w:tab w:val="left" w:pos="-720"/>
          <w:tab w:val="left" w:pos="720"/>
        </w:tabs>
        <w:jc w:val="both"/>
        <w:rPr>
          <w:sz w:val="22"/>
          <w:szCs w:val="22"/>
        </w:rPr>
      </w:pPr>
      <w:r w:rsidRPr="000634A4">
        <w:rPr>
          <w:sz w:val="22"/>
          <w:szCs w:val="22"/>
        </w:rPr>
        <w:t xml:space="preserve">(a)(1)  Financial Statements. The following Report of Independent Registered Public Accounting firm, </w:t>
      </w:r>
      <w:r w:rsidRPr="000634A4">
        <w:rPr>
          <w:sz w:val="22"/>
          <w:szCs w:val="22"/>
        </w:rPr>
        <w:tab/>
        <w:t xml:space="preserve">consolidated financial statements, and accompanying notes are included in Item 8. Index to </w:t>
      </w:r>
      <w:r w:rsidRPr="000634A4">
        <w:rPr>
          <w:sz w:val="22"/>
          <w:szCs w:val="22"/>
        </w:rPr>
        <w:tab/>
        <w:t>Financial Statements:</w:t>
      </w:r>
    </w:p>
    <w:p w14:paraId="6A3E9CB8" w14:textId="5DF8A710" w:rsidR="00AA18A6" w:rsidRPr="000634A4" w:rsidRDefault="00AA18A6" w:rsidP="00AA18A6">
      <w:pPr>
        <w:tabs>
          <w:tab w:val="left" w:pos="-720"/>
          <w:tab w:val="left" w:pos="720"/>
        </w:tabs>
        <w:jc w:val="both"/>
        <w:rPr>
          <w:sz w:val="22"/>
          <w:szCs w:val="22"/>
        </w:rPr>
      </w:pPr>
      <w:r w:rsidRPr="000634A4">
        <w:rPr>
          <w:sz w:val="22"/>
          <w:szCs w:val="22"/>
        </w:rPr>
        <w:tab/>
        <w:t>Report</w:t>
      </w:r>
      <w:r w:rsidR="00F85D9F" w:rsidRPr="000634A4">
        <w:rPr>
          <w:sz w:val="22"/>
          <w:szCs w:val="22"/>
        </w:rPr>
        <w:t>s</w:t>
      </w:r>
      <w:r w:rsidRPr="000634A4">
        <w:rPr>
          <w:sz w:val="22"/>
          <w:szCs w:val="22"/>
        </w:rPr>
        <w:t xml:space="preserve"> of Independent Registered Public Accounting Firm</w:t>
      </w:r>
      <w:r w:rsidR="00F85D9F" w:rsidRPr="000634A4">
        <w:rPr>
          <w:sz w:val="22"/>
          <w:szCs w:val="22"/>
        </w:rPr>
        <w:t>s</w:t>
      </w:r>
      <w:r w:rsidRPr="000634A4">
        <w:rPr>
          <w:sz w:val="22"/>
          <w:szCs w:val="22"/>
        </w:rPr>
        <w:t>.</w:t>
      </w:r>
    </w:p>
    <w:p w14:paraId="7F0F2604" w14:textId="3A7A806B" w:rsidR="00AA18A6" w:rsidRPr="000634A4" w:rsidRDefault="00AA18A6" w:rsidP="00AA18A6">
      <w:pPr>
        <w:shd w:val="clear" w:color="auto" w:fill="FFFFFF"/>
        <w:ind w:firstLine="480"/>
        <w:rPr>
          <w:rFonts w:ascii="Segoe UI" w:hAnsi="Segoe UI" w:cs="Segoe UI"/>
          <w:sz w:val="22"/>
          <w:szCs w:val="22"/>
        </w:rPr>
      </w:pPr>
      <w:r w:rsidRPr="000634A4">
        <w:rPr>
          <w:sz w:val="22"/>
          <w:szCs w:val="22"/>
        </w:rPr>
        <w:tab/>
        <w:t>Consolidated Balance Sheets as of December 31, 20</w:t>
      </w:r>
      <w:r w:rsidR="005F2A77" w:rsidRPr="000634A4">
        <w:rPr>
          <w:sz w:val="22"/>
          <w:szCs w:val="22"/>
        </w:rPr>
        <w:t>2</w:t>
      </w:r>
      <w:r w:rsidR="0097467E" w:rsidRPr="000634A4">
        <w:rPr>
          <w:sz w:val="22"/>
          <w:szCs w:val="22"/>
        </w:rPr>
        <w:t>2</w:t>
      </w:r>
      <w:r w:rsidRPr="000634A4">
        <w:rPr>
          <w:sz w:val="22"/>
          <w:szCs w:val="22"/>
        </w:rPr>
        <w:t xml:space="preserve"> and 20</w:t>
      </w:r>
      <w:r w:rsidR="00912F47" w:rsidRPr="000634A4">
        <w:rPr>
          <w:sz w:val="22"/>
          <w:szCs w:val="22"/>
        </w:rPr>
        <w:t>2</w:t>
      </w:r>
      <w:r w:rsidR="0097467E" w:rsidRPr="000634A4">
        <w:rPr>
          <w:sz w:val="22"/>
          <w:szCs w:val="22"/>
        </w:rPr>
        <w:t>1</w:t>
      </w:r>
      <w:r w:rsidRPr="000634A4">
        <w:rPr>
          <w:sz w:val="22"/>
          <w:szCs w:val="22"/>
        </w:rPr>
        <w:t>.</w:t>
      </w:r>
    </w:p>
    <w:p w14:paraId="03326C3B" w14:textId="5A4E71A7" w:rsidR="00AA18A6" w:rsidRPr="000634A4" w:rsidRDefault="00AA18A6" w:rsidP="0014314E">
      <w:pPr>
        <w:shd w:val="clear" w:color="auto" w:fill="FFFFFF"/>
        <w:ind w:left="720"/>
        <w:rPr>
          <w:rFonts w:ascii="Segoe UI" w:hAnsi="Segoe UI" w:cs="Segoe UI"/>
          <w:sz w:val="22"/>
          <w:szCs w:val="22"/>
        </w:rPr>
      </w:pPr>
      <w:r w:rsidRPr="000634A4">
        <w:rPr>
          <w:sz w:val="22"/>
          <w:szCs w:val="22"/>
        </w:rPr>
        <w:t xml:space="preserve">Consolidated Statements of Operations and Comprehensive Loss for the years ended December 31, </w:t>
      </w:r>
      <w:r w:rsidR="004E6926" w:rsidRPr="000634A4">
        <w:rPr>
          <w:sz w:val="22"/>
          <w:szCs w:val="22"/>
        </w:rPr>
        <w:t xml:space="preserve">2022 </w:t>
      </w:r>
      <w:r w:rsidRPr="000634A4">
        <w:rPr>
          <w:sz w:val="22"/>
          <w:szCs w:val="22"/>
        </w:rPr>
        <w:t>and </w:t>
      </w:r>
      <w:r w:rsidR="004E6926" w:rsidRPr="000634A4">
        <w:rPr>
          <w:sz w:val="22"/>
          <w:szCs w:val="22"/>
        </w:rPr>
        <w:t>2021</w:t>
      </w:r>
      <w:r w:rsidRPr="000634A4">
        <w:rPr>
          <w:sz w:val="22"/>
          <w:szCs w:val="22"/>
        </w:rPr>
        <w:t>.</w:t>
      </w:r>
    </w:p>
    <w:p w14:paraId="406EC1D1" w14:textId="581764F5" w:rsidR="00AA18A6" w:rsidRPr="000634A4" w:rsidRDefault="00AA18A6" w:rsidP="0014314E">
      <w:pPr>
        <w:shd w:val="clear" w:color="auto" w:fill="FFFFFF"/>
        <w:ind w:left="720"/>
        <w:rPr>
          <w:sz w:val="22"/>
          <w:szCs w:val="22"/>
        </w:rPr>
      </w:pPr>
      <w:r w:rsidRPr="000634A4">
        <w:rPr>
          <w:sz w:val="22"/>
          <w:szCs w:val="22"/>
        </w:rPr>
        <w:t xml:space="preserve">Consolidated Statements of Stockholders’ Equity for the years ended December 31, </w:t>
      </w:r>
      <w:r w:rsidR="004E6926" w:rsidRPr="000634A4">
        <w:rPr>
          <w:sz w:val="22"/>
          <w:szCs w:val="22"/>
        </w:rPr>
        <w:t xml:space="preserve">2022 </w:t>
      </w:r>
      <w:r w:rsidRPr="000634A4">
        <w:rPr>
          <w:sz w:val="22"/>
          <w:szCs w:val="22"/>
        </w:rPr>
        <w:t>and </w:t>
      </w:r>
      <w:r w:rsidR="004E6926" w:rsidRPr="000634A4">
        <w:rPr>
          <w:sz w:val="22"/>
          <w:szCs w:val="22"/>
        </w:rPr>
        <w:t>2021</w:t>
      </w:r>
      <w:r w:rsidRPr="000634A4">
        <w:rPr>
          <w:sz w:val="22"/>
          <w:szCs w:val="22"/>
        </w:rPr>
        <w:t>.</w:t>
      </w:r>
    </w:p>
    <w:p w14:paraId="740E331C" w14:textId="1F692E4D" w:rsidR="00AA18A6" w:rsidRPr="000634A4" w:rsidRDefault="00AA18A6" w:rsidP="00AA18A6">
      <w:pPr>
        <w:shd w:val="clear" w:color="auto" w:fill="FFFFFF"/>
        <w:ind w:firstLine="480"/>
        <w:rPr>
          <w:rFonts w:ascii="Segoe UI" w:hAnsi="Segoe UI" w:cs="Segoe UI"/>
          <w:sz w:val="22"/>
          <w:szCs w:val="22"/>
        </w:rPr>
      </w:pPr>
      <w:r w:rsidRPr="000634A4">
        <w:rPr>
          <w:sz w:val="22"/>
          <w:szCs w:val="22"/>
        </w:rPr>
        <w:tab/>
        <w:t xml:space="preserve">Consolidated Statements of Cash Flows for the years ended December 31, </w:t>
      </w:r>
      <w:r w:rsidR="004E6926" w:rsidRPr="000634A4">
        <w:rPr>
          <w:sz w:val="22"/>
          <w:szCs w:val="22"/>
        </w:rPr>
        <w:t xml:space="preserve">2022 </w:t>
      </w:r>
      <w:r w:rsidRPr="000634A4">
        <w:rPr>
          <w:sz w:val="22"/>
          <w:szCs w:val="22"/>
        </w:rPr>
        <w:t>and </w:t>
      </w:r>
      <w:r w:rsidR="004E6926" w:rsidRPr="000634A4">
        <w:rPr>
          <w:sz w:val="22"/>
          <w:szCs w:val="22"/>
        </w:rPr>
        <w:t>2021</w:t>
      </w:r>
      <w:r w:rsidRPr="000634A4">
        <w:rPr>
          <w:sz w:val="22"/>
          <w:szCs w:val="22"/>
        </w:rPr>
        <w:t>.</w:t>
      </w:r>
    </w:p>
    <w:p w14:paraId="5FCBB540" w14:textId="77777777" w:rsidR="00AA18A6" w:rsidRPr="000634A4" w:rsidRDefault="00AA18A6" w:rsidP="00AA18A6">
      <w:pPr>
        <w:tabs>
          <w:tab w:val="left" w:pos="-720"/>
          <w:tab w:val="left" w:pos="720"/>
        </w:tabs>
        <w:jc w:val="both"/>
        <w:rPr>
          <w:sz w:val="22"/>
          <w:szCs w:val="22"/>
        </w:rPr>
      </w:pPr>
    </w:p>
    <w:p w14:paraId="24F550A9" w14:textId="296D51B5" w:rsidR="00AA18A6" w:rsidRPr="000634A4" w:rsidRDefault="00AA18A6" w:rsidP="00AA18A6">
      <w:pPr>
        <w:tabs>
          <w:tab w:val="left" w:pos="-720"/>
          <w:tab w:val="left" w:pos="720"/>
        </w:tabs>
        <w:jc w:val="both"/>
        <w:rPr>
          <w:sz w:val="22"/>
          <w:szCs w:val="22"/>
        </w:rPr>
      </w:pPr>
      <w:r w:rsidRPr="000634A4">
        <w:rPr>
          <w:sz w:val="22"/>
          <w:szCs w:val="22"/>
        </w:rPr>
        <w:t>(a)(</w:t>
      </w:r>
      <w:r w:rsidR="006769FD" w:rsidRPr="000634A4">
        <w:rPr>
          <w:sz w:val="22"/>
          <w:szCs w:val="22"/>
        </w:rPr>
        <w:t>2</w:t>
      </w:r>
      <w:r w:rsidRPr="000634A4">
        <w:rPr>
          <w:sz w:val="22"/>
          <w:szCs w:val="22"/>
        </w:rPr>
        <w:t>)</w:t>
      </w:r>
      <w:r w:rsidRPr="000634A4">
        <w:rPr>
          <w:sz w:val="22"/>
          <w:szCs w:val="22"/>
        </w:rPr>
        <w:tab/>
        <w:t>Exhibits – See Exhibit Index attached hereto, which is incorporated by reference herein.</w:t>
      </w:r>
    </w:p>
    <w:p w14:paraId="72B59F52" w14:textId="77777777" w:rsidR="00A81DCD" w:rsidRPr="000634A4" w:rsidRDefault="00AA18A6" w:rsidP="00A81DCD">
      <w:pPr>
        <w:tabs>
          <w:tab w:val="center" w:pos="4680"/>
        </w:tabs>
        <w:outlineLvl w:val="0"/>
        <w:rPr>
          <w:b/>
          <w:sz w:val="22"/>
          <w:szCs w:val="22"/>
        </w:rPr>
      </w:pPr>
      <w:r w:rsidRPr="000634A4" w:rsidDel="00AA18A6">
        <w:rPr>
          <w:sz w:val="22"/>
          <w:szCs w:val="22"/>
        </w:rPr>
        <w:t xml:space="preserve"> </w:t>
      </w:r>
    </w:p>
    <w:p w14:paraId="3CAE00DB" w14:textId="3A1F3C34" w:rsidR="00A81DCD" w:rsidRPr="000634A4" w:rsidRDefault="00A81DCD" w:rsidP="00A81DCD">
      <w:pPr>
        <w:tabs>
          <w:tab w:val="left" w:pos="-720"/>
        </w:tabs>
        <w:jc w:val="both"/>
        <w:outlineLvl w:val="0"/>
        <w:rPr>
          <w:b/>
          <w:sz w:val="22"/>
          <w:szCs w:val="22"/>
        </w:rPr>
      </w:pPr>
      <w:r w:rsidRPr="000634A4">
        <w:rPr>
          <w:b/>
          <w:sz w:val="22"/>
          <w:szCs w:val="22"/>
        </w:rPr>
        <w:t>Item 16.  Form 10</w:t>
      </w:r>
      <w:r w:rsidR="004E0096" w:rsidRPr="000634A4">
        <w:rPr>
          <w:b/>
          <w:sz w:val="22"/>
          <w:szCs w:val="22"/>
        </w:rPr>
        <w:t>-</w:t>
      </w:r>
      <w:r w:rsidRPr="000634A4">
        <w:rPr>
          <w:b/>
          <w:sz w:val="22"/>
          <w:szCs w:val="22"/>
        </w:rPr>
        <w:t>K Summary.</w:t>
      </w:r>
    </w:p>
    <w:p w14:paraId="7A6392F8" w14:textId="77777777" w:rsidR="00A81DCD" w:rsidRPr="000634A4" w:rsidRDefault="00A81DCD" w:rsidP="00A81DCD">
      <w:pPr>
        <w:tabs>
          <w:tab w:val="left" w:pos="-720"/>
        </w:tabs>
        <w:jc w:val="both"/>
        <w:outlineLvl w:val="0"/>
        <w:rPr>
          <w:b/>
          <w:sz w:val="22"/>
          <w:szCs w:val="22"/>
        </w:rPr>
      </w:pPr>
      <w:r w:rsidRPr="000634A4">
        <w:rPr>
          <w:b/>
          <w:sz w:val="22"/>
          <w:szCs w:val="22"/>
        </w:rPr>
        <w:tab/>
      </w:r>
    </w:p>
    <w:p w14:paraId="590A23E3" w14:textId="696E3D04" w:rsidR="00A81DCD" w:rsidRPr="000634A4" w:rsidRDefault="00A81DCD" w:rsidP="00A81DCD">
      <w:pPr>
        <w:tabs>
          <w:tab w:val="left" w:pos="-720"/>
        </w:tabs>
        <w:jc w:val="both"/>
        <w:outlineLvl w:val="0"/>
        <w:rPr>
          <w:sz w:val="22"/>
          <w:szCs w:val="22"/>
        </w:rPr>
      </w:pPr>
      <w:r w:rsidRPr="000634A4">
        <w:rPr>
          <w:b/>
          <w:sz w:val="22"/>
          <w:szCs w:val="22"/>
        </w:rPr>
        <w:tab/>
      </w:r>
      <w:r w:rsidRPr="000634A4">
        <w:rPr>
          <w:sz w:val="22"/>
          <w:szCs w:val="22"/>
        </w:rPr>
        <w:t>None.</w:t>
      </w:r>
    </w:p>
    <w:p w14:paraId="4527B28C" w14:textId="021C3249" w:rsidR="006C5992" w:rsidRPr="000634A4" w:rsidRDefault="006C5992" w:rsidP="00A81DCD">
      <w:pPr>
        <w:tabs>
          <w:tab w:val="left" w:pos="-720"/>
        </w:tabs>
        <w:jc w:val="both"/>
        <w:outlineLvl w:val="0"/>
        <w:rPr>
          <w:sz w:val="22"/>
          <w:szCs w:val="22"/>
        </w:rPr>
      </w:pPr>
      <w:r w:rsidRPr="000634A4">
        <w:rPr>
          <w:sz w:val="22"/>
          <w:szCs w:val="22"/>
        </w:rPr>
        <w:br w:type="page"/>
      </w:r>
    </w:p>
    <w:p w14:paraId="5D0D7BC7" w14:textId="77777777" w:rsidR="00790AA9" w:rsidRPr="000634A4" w:rsidRDefault="00790AA9" w:rsidP="00A81DCD">
      <w:pPr>
        <w:tabs>
          <w:tab w:val="left" w:pos="-720"/>
        </w:tabs>
        <w:jc w:val="both"/>
        <w:outlineLvl w:val="0"/>
        <w:rPr>
          <w:sz w:val="22"/>
          <w:szCs w:val="22"/>
        </w:rPr>
      </w:pPr>
    </w:p>
    <w:p w14:paraId="1244A639" w14:textId="20E172C3" w:rsidR="00A81DCD" w:rsidRPr="000634A4" w:rsidRDefault="00A81DCD" w:rsidP="00A81DCD">
      <w:pPr>
        <w:tabs>
          <w:tab w:val="center" w:pos="4680"/>
        </w:tabs>
        <w:jc w:val="center"/>
        <w:outlineLvl w:val="0"/>
        <w:rPr>
          <w:b/>
          <w:sz w:val="22"/>
          <w:szCs w:val="22"/>
        </w:rPr>
      </w:pPr>
      <w:r w:rsidRPr="000634A4">
        <w:rPr>
          <w:b/>
          <w:sz w:val="22"/>
          <w:szCs w:val="22"/>
        </w:rPr>
        <w:t>SIGNATURES</w:t>
      </w:r>
    </w:p>
    <w:p w14:paraId="6EA9A116" w14:textId="77777777" w:rsidR="00A81DCD" w:rsidRPr="000634A4" w:rsidRDefault="00A81DCD" w:rsidP="00A81DCD">
      <w:pPr>
        <w:jc w:val="both"/>
        <w:rPr>
          <w:b/>
          <w:sz w:val="22"/>
          <w:szCs w:val="22"/>
        </w:rPr>
      </w:pPr>
    </w:p>
    <w:p w14:paraId="7C95B4A9" w14:textId="77777777" w:rsidR="00AA18A6" w:rsidRPr="000634A4" w:rsidRDefault="00AA18A6" w:rsidP="00AA18A6">
      <w:pPr>
        <w:ind w:firstLine="720"/>
        <w:jc w:val="both"/>
        <w:rPr>
          <w:sz w:val="22"/>
          <w:szCs w:val="22"/>
        </w:rPr>
      </w:pPr>
      <w:r w:rsidRPr="000634A4">
        <w:rPr>
          <w:sz w:val="22"/>
          <w:szCs w:val="22"/>
        </w:rPr>
        <w:t>Pursuant to the requirements of Section 13 or 15(d) of the Securities Exchange Act of 1934, the registrant caused this report to be signed on its behalf by the undersigned, thereunto duly authorized.</w:t>
      </w:r>
    </w:p>
    <w:p w14:paraId="4BECF909" w14:textId="77777777" w:rsidR="00A81DCD" w:rsidRPr="000634A4" w:rsidRDefault="00A81DCD" w:rsidP="00A81DCD">
      <w:pPr>
        <w:tabs>
          <w:tab w:val="left" w:pos="-720"/>
        </w:tabs>
        <w:rPr>
          <w:sz w:val="22"/>
          <w:szCs w:val="22"/>
        </w:rPr>
      </w:pPr>
    </w:p>
    <w:p w14:paraId="5D1AABC7" w14:textId="77777777" w:rsidR="00A81DCD" w:rsidRPr="000634A4" w:rsidRDefault="00A81DCD" w:rsidP="00A81DCD">
      <w:pPr>
        <w:tabs>
          <w:tab w:val="left" w:pos="-720"/>
        </w:tabs>
        <w:outlineLvl w:val="0"/>
        <w:rPr>
          <w:sz w:val="22"/>
          <w:szCs w:val="22"/>
        </w:rPr>
      </w:pP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t xml:space="preserve">INNODATA </w:t>
      </w:r>
      <w:r w:rsidRPr="000634A4">
        <w:rPr>
          <w:bCs/>
          <w:sz w:val="22"/>
          <w:szCs w:val="22"/>
        </w:rPr>
        <w:t>INC.</w:t>
      </w:r>
    </w:p>
    <w:p w14:paraId="323D7B80" w14:textId="77777777" w:rsidR="00A81DCD" w:rsidRPr="000634A4" w:rsidRDefault="00A81DCD" w:rsidP="00A81DCD">
      <w:pPr>
        <w:tabs>
          <w:tab w:val="left" w:pos="-720"/>
        </w:tabs>
        <w:rPr>
          <w:sz w:val="22"/>
          <w:szCs w:val="22"/>
        </w:rPr>
      </w:pPr>
    </w:p>
    <w:p w14:paraId="7BB7BE14" w14:textId="3AD83376" w:rsidR="00A81DCD" w:rsidRPr="000634A4" w:rsidRDefault="00A81DCD" w:rsidP="00A81DCD">
      <w:pPr>
        <w:tabs>
          <w:tab w:val="left" w:pos="-720"/>
        </w:tabs>
        <w:rPr>
          <w:sz w:val="22"/>
          <w:szCs w:val="22"/>
        </w:rPr>
      </w:pP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t>By</w:t>
      </w:r>
      <w:r w:rsidR="0034154D" w:rsidRPr="000634A4">
        <w:rPr>
          <w:sz w:val="22"/>
          <w:szCs w:val="22"/>
        </w:rPr>
        <w:t xml:space="preserve">: </w:t>
      </w:r>
      <w:r w:rsidR="0034154D" w:rsidRPr="000634A4">
        <w:rPr>
          <w:sz w:val="22"/>
          <w:szCs w:val="22"/>
        </w:rPr>
        <w:tab/>
      </w:r>
      <w:r w:rsidR="0034154D" w:rsidRPr="000634A4">
        <w:rPr>
          <w:sz w:val="22"/>
          <w:szCs w:val="22"/>
          <w:u w:val="single"/>
        </w:rPr>
        <w:t>/</w:t>
      </w:r>
      <w:r w:rsidRPr="000634A4">
        <w:rPr>
          <w:sz w:val="22"/>
          <w:szCs w:val="22"/>
          <w:u w:val="single"/>
        </w:rPr>
        <w:t xml:space="preserve">s/ Jack </w:t>
      </w:r>
      <w:r w:rsidR="00043BA6" w:rsidRPr="000634A4">
        <w:rPr>
          <w:sz w:val="22"/>
          <w:szCs w:val="22"/>
          <w:u w:val="single"/>
        </w:rPr>
        <w:t xml:space="preserve">S. </w:t>
      </w:r>
      <w:r w:rsidRPr="000634A4">
        <w:rPr>
          <w:sz w:val="22"/>
          <w:szCs w:val="22"/>
          <w:u w:val="single"/>
        </w:rPr>
        <w:t>Abuhoff</w:t>
      </w:r>
    </w:p>
    <w:p w14:paraId="53040AA3" w14:textId="10A65B94" w:rsidR="00A81DCD" w:rsidRPr="000634A4" w:rsidRDefault="00A81DCD" w:rsidP="00A81DCD">
      <w:pPr>
        <w:tabs>
          <w:tab w:val="left" w:pos="-720"/>
        </w:tabs>
        <w:rPr>
          <w:sz w:val="22"/>
          <w:szCs w:val="22"/>
        </w:rPr>
      </w:pP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t>Jack</w:t>
      </w:r>
      <w:r w:rsidR="00442D13" w:rsidRPr="000634A4">
        <w:rPr>
          <w:sz w:val="22"/>
          <w:szCs w:val="22"/>
        </w:rPr>
        <w:t xml:space="preserve"> S.</w:t>
      </w:r>
      <w:r w:rsidRPr="000634A4">
        <w:rPr>
          <w:sz w:val="22"/>
          <w:szCs w:val="22"/>
        </w:rPr>
        <w:t xml:space="preserve"> Abuhoff </w:t>
      </w:r>
    </w:p>
    <w:p w14:paraId="5D18F557" w14:textId="3A5569DE" w:rsidR="00A81DCD" w:rsidRPr="000634A4" w:rsidRDefault="00A81DCD" w:rsidP="00A81DCD">
      <w:pPr>
        <w:tabs>
          <w:tab w:val="left" w:pos="-720"/>
        </w:tabs>
        <w:rPr>
          <w:sz w:val="22"/>
          <w:szCs w:val="22"/>
        </w:rPr>
      </w:pP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p>
    <w:p w14:paraId="2188FA8D" w14:textId="77777777" w:rsidR="00A81DCD" w:rsidRPr="000634A4" w:rsidRDefault="00A81DCD" w:rsidP="00A81DCD">
      <w:pPr>
        <w:tabs>
          <w:tab w:val="left" w:pos="-720"/>
        </w:tabs>
        <w:rPr>
          <w:sz w:val="22"/>
          <w:szCs w:val="22"/>
        </w:rPr>
      </w:pP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t>Chief Executive Officer and President</w:t>
      </w:r>
    </w:p>
    <w:p w14:paraId="1F00B4F0" w14:textId="1A46E5E1" w:rsidR="00A81DCD" w:rsidRPr="000634A4" w:rsidRDefault="00A81DCD" w:rsidP="00A81DCD">
      <w:pPr>
        <w:tabs>
          <w:tab w:val="left" w:pos="-720"/>
        </w:tabs>
        <w:rPr>
          <w:sz w:val="22"/>
          <w:szCs w:val="22"/>
        </w:rPr>
      </w:pP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Pr="000634A4">
        <w:rPr>
          <w:sz w:val="22"/>
          <w:szCs w:val="22"/>
        </w:rPr>
        <w:tab/>
      </w:r>
      <w:r w:rsidR="005B3C47" w:rsidRPr="000634A4">
        <w:rPr>
          <w:sz w:val="22"/>
          <w:szCs w:val="22"/>
        </w:rPr>
        <w:t>February 23, 2023</w:t>
      </w:r>
    </w:p>
    <w:p w14:paraId="792A1A20" w14:textId="77777777" w:rsidR="00A81DCD" w:rsidRPr="000634A4" w:rsidRDefault="00A81DCD" w:rsidP="00A81DCD">
      <w:pPr>
        <w:jc w:val="both"/>
        <w:rPr>
          <w:sz w:val="22"/>
          <w:szCs w:val="22"/>
        </w:rPr>
      </w:pPr>
      <w:r w:rsidRPr="000634A4">
        <w:rPr>
          <w:sz w:val="22"/>
          <w:szCs w:val="22"/>
        </w:rPr>
        <w:tab/>
      </w:r>
    </w:p>
    <w:p w14:paraId="64755322" w14:textId="77777777" w:rsidR="00E02CEE" w:rsidRPr="000634A4" w:rsidRDefault="00E02CEE" w:rsidP="00AA18A6">
      <w:pPr>
        <w:ind w:firstLine="720"/>
        <w:jc w:val="both"/>
        <w:rPr>
          <w:sz w:val="22"/>
          <w:szCs w:val="22"/>
        </w:rPr>
      </w:pPr>
    </w:p>
    <w:p w14:paraId="654E9C18" w14:textId="77777777" w:rsidR="00E02CEE" w:rsidRPr="000634A4" w:rsidRDefault="00E02CEE" w:rsidP="00AA18A6">
      <w:pPr>
        <w:ind w:firstLine="720"/>
        <w:jc w:val="both"/>
        <w:rPr>
          <w:sz w:val="22"/>
          <w:szCs w:val="22"/>
        </w:rPr>
      </w:pPr>
    </w:p>
    <w:p w14:paraId="5F392DA4" w14:textId="4E106063" w:rsidR="00AA18A6" w:rsidRPr="000634A4" w:rsidRDefault="00AA18A6" w:rsidP="00AA18A6">
      <w:pPr>
        <w:ind w:firstLine="720"/>
        <w:jc w:val="both"/>
        <w:rPr>
          <w:sz w:val="22"/>
          <w:szCs w:val="22"/>
        </w:rPr>
      </w:pPr>
      <w:r w:rsidRPr="000634A4">
        <w:rPr>
          <w:sz w:val="22"/>
          <w:szCs w:val="22"/>
        </w:rPr>
        <w:t>Pursuant to the requirements of the Securities Exchange Act of 1934, this report has been signed below by the following persons on behalf of the registrant and in the capacities and on the dates indicated.</w:t>
      </w:r>
    </w:p>
    <w:p w14:paraId="163123D1" w14:textId="5DB82984" w:rsidR="00A81DCD" w:rsidRPr="000634A4" w:rsidRDefault="00A81DCD" w:rsidP="00A81DCD">
      <w:pPr>
        <w:tabs>
          <w:tab w:val="left" w:pos="-720"/>
        </w:tabs>
        <w:rPr>
          <w:sz w:val="22"/>
          <w:szCs w:val="22"/>
        </w:rPr>
      </w:pPr>
    </w:p>
    <w:p w14:paraId="7D1DA296" w14:textId="77777777" w:rsidR="00DA054D" w:rsidRPr="000634A4" w:rsidRDefault="00DA054D" w:rsidP="00A81DCD">
      <w:pPr>
        <w:tabs>
          <w:tab w:val="left" w:pos="-720"/>
        </w:tabs>
        <w:rPr>
          <w:sz w:val="22"/>
          <w:szCs w:val="22"/>
        </w:rPr>
      </w:pPr>
    </w:p>
    <w:tbl>
      <w:tblPr>
        <w:tblW w:w="0" w:type="auto"/>
        <w:jc w:val="center"/>
        <w:tblLayout w:type="fixed"/>
        <w:tblCellMar>
          <w:left w:w="21" w:type="dxa"/>
          <w:right w:w="21" w:type="dxa"/>
        </w:tblCellMar>
        <w:tblLook w:val="0000" w:firstRow="0" w:lastRow="0" w:firstColumn="0" w:lastColumn="0" w:noHBand="0" w:noVBand="0"/>
      </w:tblPr>
      <w:tblGrid>
        <w:gridCol w:w="3960"/>
        <w:gridCol w:w="3470"/>
        <w:gridCol w:w="2016"/>
      </w:tblGrid>
      <w:tr w:rsidR="009E3590" w:rsidRPr="000634A4" w14:paraId="78AE737D" w14:textId="77777777" w:rsidTr="006F5701">
        <w:trPr>
          <w:cantSplit/>
          <w:jc w:val="center"/>
        </w:trPr>
        <w:tc>
          <w:tcPr>
            <w:tcW w:w="3960" w:type="dxa"/>
          </w:tcPr>
          <w:p w14:paraId="7637CED5" w14:textId="77777777" w:rsidR="00A81DCD" w:rsidRPr="000634A4" w:rsidRDefault="00A81DCD" w:rsidP="00A71198">
            <w:pPr>
              <w:rPr>
                <w:sz w:val="22"/>
                <w:szCs w:val="22"/>
              </w:rPr>
            </w:pPr>
            <w:r w:rsidRPr="000634A4">
              <w:rPr>
                <w:sz w:val="22"/>
                <w:szCs w:val="22"/>
                <w:u w:val="single"/>
              </w:rPr>
              <w:t>Signature</w:t>
            </w:r>
          </w:p>
        </w:tc>
        <w:tc>
          <w:tcPr>
            <w:tcW w:w="3470" w:type="dxa"/>
          </w:tcPr>
          <w:p w14:paraId="5606AD46" w14:textId="77777777" w:rsidR="00A81DCD" w:rsidRPr="000634A4" w:rsidRDefault="00A81DCD" w:rsidP="00A71198">
            <w:pPr>
              <w:tabs>
                <w:tab w:val="left" w:pos="58"/>
              </w:tabs>
              <w:rPr>
                <w:sz w:val="22"/>
                <w:szCs w:val="22"/>
                <w:u w:val="single"/>
              </w:rPr>
            </w:pPr>
            <w:r w:rsidRPr="000634A4">
              <w:rPr>
                <w:sz w:val="22"/>
                <w:szCs w:val="22"/>
              </w:rPr>
              <w:tab/>
            </w:r>
            <w:r w:rsidRPr="000634A4">
              <w:rPr>
                <w:sz w:val="22"/>
                <w:szCs w:val="22"/>
                <w:u w:val="single"/>
              </w:rPr>
              <w:t>Title</w:t>
            </w:r>
          </w:p>
        </w:tc>
        <w:tc>
          <w:tcPr>
            <w:tcW w:w="2016" w:type="dxa"/>
          </w:tcPr>
          <w:p w14:paraId="593245D9" w14:textId="77777777" w:rsidR="00A81DCD" w:rsidRPr="000634A4" w:rsidRDefault="00A81DCD" w:rsidP="00A71198">
            <w:pPr>
              <w:tabs>
                <w:tab w:val="left" w:pos="44"/>
              </w:tabs>
              <w:rPr>
                <w:sz w:val="22"/>
                <w:szCs w:val="22"/>
              </w:rPr>
            </w:pPr>
            <w:r w:rsidRPr="000634A4">
              <w:rPr>
                <w:sz w:val="22"/>
                <w:szCs w:val="22"/>
              </w:rPr>
              <w:tab/>
            </w:r>
            <w:r w:rsidRPr="000634A4">
              <w:rPr>
                <w:sz w:val="22"/>
                <w:szCs w:val="22"/>
                <w:u w:val="single"/>
              </w:rPr>
              <w:t>Date</w:t>
            </w:r>
          </w:p>
        </w:tc>
      </w:tr>
      <w:tr w:rsidR="009E3590" w:rsidRPr="000634A4" w14:paraId="017CFFD5" w14:textId="77777777" w:rsidTr="006F5701">
        <w:trPr>
          <w:cantSplit/>
          <w:jc w:val="center"/>
        </w:trPr>
        <w:tc>
          <w:tcPr>
            <w:tcW w:w="3960" w:type="dxa"/>
          </w:tcPr>
          <w:p w14:paraId="5791848F" w14:textId="77777777" w:rsidR="00A81DCD" w:rsidRPr="000634A4" w:rsidRDefault="00A81DCD" w:rsidP="00A71198">
            <w:pPr>
              <w:rPr>
                <w:sz w:val="22"/>
                <w:szCs w:val="22"/>
              </w:rPr>
            </w:pPr>
          </w:p>
        </w:tc>
        <w:tc>
          <w:tcPr>
            <w:tcW w:w="3470" w:type="dxa"/>
          </w:tcPr>
          <w:p w14:paraId="04974F6C" w14:textId="77777777" w:rsidR="00A81DCD" w:rsidRPr="000634A4" w:rsidRDefault="00A81DCD" w:rsidP="006F5701">
            <w:pPr>
              <w:ind w:right="391"/>
              <w:rPr>
                <w:sz w:val="22"/>
                <w:szCs w:val="22"/>
              </w:rPr>
            </w:pPr>
          </w:p>
        </w:tc>
        <w:tc>
          <w:tcPr>
            <w:tcW w:w="2016" w:type="dxa"/>
          </w:tcPr>
          <w:p w14:paraId="3BCEA42C" w14:textId="77777777" w:rsidR="00A81DCD" w:rsidRPr="000634A4" w:rsidRDefault="00A81DCD" w:rsidP="00A71198">
            <w:pPr>
              <w:rPr>
                <w:sz w:val="22"/>
                <w:szCs w:val="22"/>
              </w:rPr>
            </w:pPr>
          </w:p>
        </w:tc>
      </w:tr>
      <w:tr w:rsidR="009E3590" w:rsidRPr="000634A4" w14:paraId="0013E38E" w14:textId="77777777" w:rsidTr="006F5701">
        <w:trPr>
          <w:cantSplit/>
          <w:jc w:val="center"/>
        </w:trPr>
        <w:tc>
          <w:tcPr>
            <w:tcW w:w="3960" w:type="dxa"/>
            <w:tcBorders>
              <w:bottom w:val="single" w:sz="6" w:space="0" w:color="auto"/>
            </w:tcBorders>
          </w:tcPr>
          <w:p w14:paraId="336F4BAC" w14:textId="77777777" w:rsidR="0023126E" w:rsidRPr="000634A4" w:rsidRDefault="0023126E" w:rsidP="0023126E">
            <w:pPr>
              <w:tabs>
                <w:tab w:val="left" w:pos="274"/>
              </w:tabs>
              <w:rPr>
                <w:sz w:val="22"/>
                <w:szCs w:val="22"/>
              </w:rPr>
            </w:pPr>
            <w:r w:rsidRPr="000634A4">
              <w:rPr>
                <w:sz w:val="22"/>
                <w:szCs w:val="22"/>
              </w:rPr>
              <w:t>/s/ Jack S. Abuhoff</w:t>
            </w:r>
          </w:p>
        </w:tc>
        <w:tc>
          <w:tcPr>
            <w:tcW w:w="3470" w:type="dxa"/>
          </w:tcPr>
          <w:p w14:paraId="4FB6CF4A" w14:textId="3E4FD51A" w:rsidR="0023126E" w:rsidRPr="000634A4" w:rsidRDefault="0023126E" w:rsidP="0023126E">
            <w:pPr>
              <w:tabs>
                <w:tab w:val="left" w:pos="58"/>
              </w:tabs>
              <w:rPr>
                <w:sz w:val="22"/>
                <w:szCs w:val="22"/>
              </w:rPr>
            </w:pPr>
            <w:r w:rsidRPr="000634A4">
              <w:rPr>
                <w:sz w:val="22"/>
                <w:szCs w:val="22"/>
              </w:rPr>
              <w:t>Chief Executive Officer and President</w:t>
            </w:r>
            <w:r w:rsidR="00271EC2" w:rsidRPr="000634A4">
              <w:rPr>
                <w:sz w:val="22"/>
                <w:szCs w:val="22"/>
              </w:rPr>
              <w:t xml:space="preserve"> </w:t>
            </w:r>
          </w:p>
        </w:tc>
        <w:tc>
          <w:tcPr>
            <w:tcW w:w="2016" w:type="dxa"/>
          </w:tcPr>
          <w:p w14:paraId="333B2C01" w14:textId="2D8959D2" w:rsidR="0023126E" w:rsidRPr="000634A4" w:rsidRDefault="005B3C47" w:rsidP="0023126E">
            <w:pPr>
              <w:tabs>
                <w:tab w:val="left" w:pos="44"/>
              </w:tabs>
              <w:rPr>
                <w:sz w:val="22"/>
                <w:szCs w:val="22"/>
              </w:rPr>
            </w:pPr>
            <w:r w:rsidRPr="000634A4">
              <w:rPr>
                <w:sz w:val="22"/>
                <w:szCs w:val="22"/>
              </w:rPr>
              <w:t>February 23, 2023</w:t>
            </w:r>
          </w:p>
        </w:tc>
      </w:tr>
      <w:tr w:rsidR="009E3590" w:rsidRPr="000634A4" w14:paraId="38F5392A" w14:textId="77777777" w:rsidTr="006F5701">
        <w:trPr>
          <w:cantSplit/>
          <w:jc w:val="center"/>
        </w:trPr>
        <w:tc>
          <w:tcPr>
            <w:tcW w:w="3960" w:type="dxa"/>
          </w:tcPr>
          <w:p w14:paraId="160D731D" w14:textId="77777777" w:rsidR="0023126E" w:rsidRPr="000634A4" w:rsidRDefault="0023126E" w:rsidP="0023126E">
            <w:pPr>
              <w:rPr>
                <w:sz w:val="22"/>
                <w:szCs w:val="22"/>
              </w:rPr>
            </w:pPr>
            <w:r w:rsidRPr="000634A4">
              <w:rPr>
                <w:sz w:val="22"/>
                <w:szCs w:val="22"/>
              </w:rPr>
              <w:t>Jack S. Abuhoff</w:t>
            </w:r>
          </w:p>
        </w:tc>
        <w:tc>
          <w:tcPr>
            <w:tcW w:w="3470" w:type="dxa"/>
          </w:tcPr>
          <w:p w14:paraId="1D05DFAD" w14:textId="5FAC9CCF" w:rsidR="0023126E" w:rsidRPr="000634A4" w:rsidRDefault="00271EC2" w:rsidP="0023126E">
            <w:pPr>
              <w:tabs>
                <w:tab w:val="left" w:pos="58"/>
              </w:tabs>
              <w:rPr>
                <w:sz w:val="22"/>
                <w:szCs w:val="22"/>
              </w:rPr>
            </w:pPr>
            <w:r w:rsidRPr="000634A4">
              <w:rPr>
                <w:sz w:val="22"/>
                <w:szCs w:val="22"/>
              </w:rPr>
              <w:t>(Principal Executive Officer)</w:t>
            </w:r>
          </w:p>
        </w:tc>
        <w:tc>
          <w:tcPr>
            <w:tcW w:w="2016" w:type="dxa"/>
          </w:tcPr>
          <w:p w14:paraId="0562C391" w14:textId="77777777" w:rsidR="0023126E" w:rsidRPr="000634A4" w:rsidRDefault="0023126E" w:rsidP="0023126E">
            <w:pPr>
              <w:rPr>
                <w:sz w:val="22"/>
                <w:szCs w:val="22"/>
              </w:rPr>
            </w:pPr>
          </w:p>
        </w:tc>
      </w:tr>
      <w:tr w:rsidR="009E3590" w:rsidRPr="000634A4" w14:paraId="0B3DD980" w14:textId="77777777" w:rsidTr="001A7530">
        <w:trPr>
          <w:cantSplit/>
          <w:jc w:val="center"/>
        </w:trPr>
        <w:tc>
          <w:tcPr>
            <w:tcW w:w="3960" w:type="dxa"/>
          </w:tcPr>
          <w:p w14:paraId="329ECF88" w14:textId="77777777" w:rsidR="0023126E" w:rsidRPr="000634A4" w:rsidRDefault="0023126E" w:rsidP="0023126E">
            <w:pPr>
              <w:rPr>
                <w:sz w:val="22"/>
                <w:szCs w:val="22"/>
              </w:rPr>
            </w:pPr>
          </w:p>
        </w:tc>
        <w:tc>
          <w:tcPr>
            <w:tcW w:w="3470" w:type="dxa"/>
          </w:tcPr>
          <w:p w14:paraId="118C74FE" w14:textId="77777777" w:rsidR="0023126E" w:rsidRPr="000634A4" w:rsidRDefault="0023126E" w:rsidP="0023126E">
            <w:pPr>
              <w:tabs>
                <w:tab w:val="left" w:pos="58"/>
              </w:tabs>
              <w:rPr>
                <w:sz w:val="22"/>
                <w:szCs w:val="22"/>
              </w:rPr>
            </w:pPr>
          </w:p>
        </w:tc>
        <w:tc>
          <w:tcPr>
            <w:tcW w:w="2016" w:type="dxa"/>
          </w:tcPr>
          <w:p w14:paraId="5470ECEB" w14:textId="77777777" w:rsidR="0023126E" w:rsidRPr="000634A4" w:rsidRDefault="0023126E" w:rsidP="0023126E">
            <w:pPr>
              <w:rPr>
                <w:sz w:val="22"/>
                <w:szCs w:val="22"/>
              </w:rPr>
            </w:pPr>
          </w:p>
        </w:tc>
      </w:tr>
      <w:tr w:rsidR="009E3590" w:rsidRPr="000634A4" w14:paraId="3C238A4D" w14:textId="77777777" w:rsidTr="001A7530">
        <w:trPr>
          <w:cantSplit/>
          <w:jc w:val="center"/>
        </w:trPr>
        <w:tc>
          <w:tcPr>
            <w:tcW w:w="3960" w:type="dxa"/>
            <w:tcBorders>
              <w:bottom w:val="single" w:sz="4" w:space="0" w:color="auto"/>
            </w:tcBorders>
          </w:tcPr>
          <w:p w14:paraId="5ECDCD14" w14:textId="62018170" w:rsidR="0023126E" w:rsidRPr="000634A4" w:rsidRDefault="0023126E" w:rsidP="0023126E">
            <w:pPr>
              <w:rPr>
                <w:sz w:val="22"/>
                <w:szCs w:val="22"/>
              </w:rPr>
            </w:pPr>
            <w:r w:rsidRPr="000634A4">
              <w:rPr>
                <w:sz w:val="22"/>
                <w:szCs w:val="22"/>
              </w:rPr>
              <w:t xml:space="preserve">                                                                     /s/ </w:t>
            </w:r>
            <w:r w:rsidR="008966D7" w:rsidRPr="000634A4">
              <w:rPr>
                <w:sz w:val="22"/>
                <w:szCs w:val="22"/>
              </w:rPr>
              <w:t>Marissa B. Espineli</w:t>
            </w:r>
          </w:p>
        </w:tc>
        <w:tc>
          <w:tcPr>
            <w:tcW w:w="3470" w:type="dxa"/>
          </w:tcPr>
          <w:p w14:paraId="3B5ED6AC" w14:textId="77777777" w:rsidR="008966D7" w:rsidRPr="000634A4" w:rsidRDefault="008966D7" w:rsidP="0023126E">
            <w:pPr>
              <w:tabs>
                <w:tab w:val="left" w:pos="58"/>
              </w:tabs>
              <w:rPr>
                <w:sz w:val="22"/>
                <w:szCs w:val="22"/>
              </w:rPr>
            </w:pPr>
          </w:p>
          <w:p w14:paraId="18416058" w14:textId="2272956A" w:rsidR="0023126E" w:rsidRPr="000634A4" w:rsidRDefault="008966D7" w:rsidP="0023126E">
            <w:pPr>
              <w:tabs>
                <w:tab w:val="left" w:pos="58"/>
              </w:tabs>
              <w:rPr>
                <w:sz w:val="22"/>
                <w:szCs w:val="22"/>
              </w:rPr>
            </w:pPr>
            <w:r w:rsidRPr="000634A4">
              <w:rPr>
                <w:sz w:val="22"/>
                <w:szCs w:val="22"/>
              </w:rPr>
              <w:t>Interim</w:t>
            </w:r>
            <w:r w:rsidR="0023126E" w:rsidRPr="000634A4">
              <w:rPr>
                <w:sz w:val="22"/>
                <w:szCs w:val="22"/>
              </w:rPr>
              <w:t xml:space="preserve"> </w:t>
            </w:r>
            <w:r w:rsidRPr="000634A4">
              <w:rPr>
                <w:sz w:val="22"/>
                <w:szCs w:val="22"/>
              </w:rPr>
              <w:t>Chief Financial Officer</w:t>
            </w:r>
          </w:p>
        </w:tc>
        <w:tc>
          <w:tcPr>
            <w:tcW w:w="2016" w:type="dxa"/>
          </w:tcPr>
          <w:p w14:paraId="72353DA9" w14:textId="77777777" w:rsidR="008966D7" w:rsidRPr="000634A4" w:rsidRDefault="008966D7" w:rsidP="0023126E">
            <w:pPr>
              <w:rPr>
                <w:sz w:val="22"/>
                <w:szCs w:val="22"/>
              </w:rPr>
            </w:pPr>
          </w:p>
          <w:p w14:paraId="1F19CEE9" w14:textId="371966C9" w:rsidR="0023126E" w:rsidRPr="000634A4" w:rsidRDefault="005B3C47" w:rsidP="0023126E">
            <w:pPr>
              <w:rPr>
                <w:sz w:val="22"/>
                <w:szCs w:val="22"/>
              </w:rPr>
            </w:pPr>
            <w:r w:rsidRPr="000634A4">
              <w:rPr>
                <w:sz w:val="22"/>
                <w:szCs w:val="22"/>
              </w:rPr>
              <w:t>February 23, 2023</w:t>
            </w:r>
          </w:p>
        </w:tc>
      </w:tr>
      <w:tr w:rsidR="009E3590" w:rsidRPr="000634A4" w14:paraId="22579A3B" w14:textId="77777777" w:rsidTr="001A7530">
        <w:trPr>
          <w:cantSplit/>
          <w:jc w:val="center"/>
        </w:trPr>
        <w:tc>
          <w:tcPr>
            <w:tcW w:w="3960" w:type="dxa"/>
            <w:tcBorders>
              <w:top w:val="single" w:sz="4" w:space="0" w:color="auto"/>
            </w:tcBorders>
          </w:tcPr>
          <w:p w14:paraId="3A7D74A7" w14:textId="665B2412" w:rsidR="0023126E" w:rsidRPr="000634A4" w:rsidRDefault="0023126E" w:rsidP="0023126E">
            <w:pPr>
              <w:rPr>
                <w:sz w:val="22"/>
                <w:szCs w:val="22"/>
              </w:rPr>
            </w:pPr>
            <w:r w:rsidRPr="000634A4">
              <w:rPr>
                <w:sz w:val="22"/>
                <w:szCs w:val="22"/>
              </w:rPr>
              <w:t>Mar</w:t>
            </w:r>
            <w:r w:rsidR="008966D7" w:rsidRPr="000634A4">
              <w:rPr>
                <w:sz w:val="22"/>
                <w:szCs w:val="22"/>
              </w:rPr>
              <w:t>issa</w:t>
            </w:r>
            <w:r w:rsidRPr="000634A4">
              <w:rPr>
                <w:sz w:val="22"/>
                <w:szCs w:val="22"/>
              </w:rPr>
              <w:t xml:space="preserve"> </w:t>
            </w:r>
            <w:r w:rsidR="008966D7" w:rsidRPr="000634A4">
              <w:rPr>
                <w:sz w:val="22"/>
                <w:szCs w:val="22"/>
              </w:rPr>
              <w:t>B</w:t>
            </w:r>
            <w:r w:rsidRPr="000634A4">
              <w:rPr>
                <w:sz w:val="22"/>
                <w:szCs w:val="22"/>
              </w:rPr>
              <w:t xml:space="preserve">. </w:t>
            </w:r>
            <w:r w:rsidR="008966D7" w:rsidRPr="000634A4">
              <w:rPr>
                <w:sz w:val="22"/>
                <w:szCs w:val="22"/>
              </w:rPr>
              <w:t>Espineli</w:t>
            </w:r>
          </w:p>
        </w:tc>
        <w:tc>
          <w:tcPr>
            <w:tcW w:w="3470" w:type="dxa"/>
          </w:tcPr>
          <w:p w14:paraId="0277C416" w14:textId="77777777" w:rsidR="0023126E" w:rsidRPr="000634A4" w:rsidRDefault="001E453A" w:rsidP="0023126E">
            <w:pPr>
              <w:tabs>
                <w:tab w:val="left" w:pos="58"/>
              </w:tabs>
              <w:rPr>
                <w:sz w:val="22"/>
                <w:szCs w:val="22"/>
              </w:rPr>
            </w:pPr>
            <w:r w:rsidRPr="000634A4">
              <w:rPr>
                <w:sz w:val="22"/>
                <w:szCs w:val="22"/>
              </w:rPr>
              <w:t>(Principal Financial Officer and</w:t>
            </w:r>
          </w:p>
          <w:p w14:paraId="79F10BD9" w14:textId="32A00676" w:rsidR="001E453A" w:rsidRPr="000634A4" w:rsidRDefault="001E453A" w:rsidP="0023126E">
            <w:pPr>
              <w:tabs>
                <w:tab w:val="left" w:pos="58"/>
              </w:tabs>
              <w:rPr>
                <w:sz w:val="22"/>
                <w:szCs w:val="22"/>
              </w:rPr>
            </w:pPr>
            <w:r w:rsidRPr="000634A4">
              <w:rPr>
                <w:sz w:val="22"/>
                <w:szCs w:val="22"/>
              </w:rPr>
              <w:t>Principal Accounting Officer)</w:t>
            </w:r>
          </w:p>
        </w:tc>
        <w:tc>
          <w:tcPr>
            <w:tcW w:w="2016" w:type="dxa"/>
          </w:tcPr>
          <w:p w14:paraId="2F60743A" w14:textId="77777777" w:rsidR="0023126E" w:rsidRPr="000634A4" w:rsidRDefault="0023126E" w:rsidP="0023126E">
            <w:pPr>
              <w:rPr>
                <w:sz w:val="22"/>
                <w:szCs w:val="22"/>
              </w:rPr>
            </w:pPr>
          </w:p>
        </w:tc>
      </w:tr>
      <w:tr w:rsidR="009E3590" w:rsidRPr="000634A4" w14:paraId="1106C11E" w14:textId="77777777" w:rsidTr="001A7530">
        <w:trPr>
          <w:cantSplit/>
          <w:jc w:val="center"/>
        </w:trPr>
        <w:tc>
          <w:tcPr>
            <w:tcW w:w="3960" w:type="dxa"/>
          </w:tcPr>
          <w:p w14:paraId="6CE255E2" w14:textId="67D4FBFB" w:rsidR="0023126E" w:rsidRPr="000634A4" w:rsidRDefault="0023126E" w:rsidP="0023126E">
            <w:pPr>
              <w:rPr>
                <w:sz w:val="22"/>
                <w:szCs w:val="22"/>
              </w:rPr>
            </w:pPr>
          </w:p>
        </w:tc>
        <w:tc>
          <w:tcPr>
            <w:tcW w:w="3470" w:type="dxa"/>
          </w:tcPr>
          <w:p w14:paraId="42059E69" w14:textId="77777777" w:rsidR="0023126E" w:rsidRPr="000634A4" w:rsidRDefault="0023126E" w:rsidP="0023126E">
            <w:pPr>
              <w:tabs>
                <w:tab w:val="left" w:pos="58"/>
              </w:tabs>
              <w:rPr>
                <w:sz w:val="22"/>
                <w:szCs w:val="22"/>
              </w:rPr>
            </w:pPr>
          </w:p>
        </w:tc>
        <w:tc>
          <w:tcPr>
            <w:tcW w:w="2016" w:type="dxa"/>
          </w:tcPr>
          <w:p w14:paraId="6C9AFDC8" w14:textId="77777777" w:rsidR="0023126E" w:rsidRPr="000634A4" w:rsidRDefault="0023126E" w:rsidP="0023126E">
            <w:pPr>
              <w:rPr>
                <w:sz w:val="22"/>
                <w:szCs w:val="22"/>
              </w:rPr>
            </w:pPr>
          </w:p>
        </w:tc>
      </w:tr>
      <w:tr w:rsidR="009E3590" w:rsidRPr="000634A4" w14:paraId="7C2F97E7" w14:textId="77777777" w:rsidTr="001A7530">
        <w:trPr>
          <w:cantSplit/>
          <w:jc w:val="center"/>
        </w:trPr>
        <w:tc>
          <w:tcPr>
            <w:tcW w:w="3960" w:type="dxa"/>
            <w:tcBorders>
              <w:bottom w:val="single" w:sz="4" w:space="0" w:color="auto"/>
            </w:tcBorders>
          </w:tcPr>
          <w:p w14:paraId="55D76677" w14:textId="20F292D8" w:rsidR="0023126E" w:rsidRPr="000634A4" w:rsidRDefault="0023126E" w:rsidP="0023126E">
            <w:pPr>
              <w:rPr>
                <w:sz w:val="22"/>
                <w:szCs w:val="22"/>
              </w:rPr>
            </w:pPr>
            <w:r w:rsidRPr="000634A4">
              <w:rPr>
                <w:sz w:val="22"/>
                <w:szCs w:val="22"/>
              </w:rPr>
              <w:t>/s/ Louise C. Forlenza</w:t>
            </w:r>
          </w:p>
        </w:tc>
        <w:tc>
          <w:tcPr>
            <w:tcW w:w="3470" w:type="dxa"/>
          </w:tcPr>
          <w:p w14:paraId="4382D053" w14:textId="341A6AFD" w:rsidR="0023126E" w:rsidRPr="000634A4" w:rsidRDefault="0023126E" w:rsidP="0023126E">
            <w:pPr>
              <w:tabs>
                <w:tab w:val="left" w:pos="58"/>
              </w:tabs>
              <w:rPr>
                <w:sz w:val="22"/>
                <w:szCs w:val="22"/>
              </w:rPr>
            </w:pPr>
            <w:r w:rsidRPr="000634A4">
              <w:rPr>
                <w:sz w:val="22"/>
                <w:szCs w:val="22"/>
              </w:rPr>
              <w:t>Director</w:t>
            </w:r>
          </w:p>
        </w:tc>
        <w:tc>
          <w:tcPr>
            <w:tcW w:w="2016" w:type="dxa"/>
          </w:tcPr>
          <w:p w14:paraId="0C7EEBFA" w14:textId="7F41A1A3" w:rsidR="0023126E" w:rsidRPr="000634A4" w:rsidRDefault="005B3C47" w:rsidP="0023126E">
            <w:pPr>
              <w:rPr>
                <w:sz w:val="22"/>
                <w:szCs w:val="22"/>
              </w:rPr>
            </w:pPr>
            <w:r w:rsidRPr="000634A4">
              <w:rPr>
                <w:sz w:val="22"/>
                <w:szCs w:val="22"/>
              </w:rPr>
              <w:t>February 23, 2023</w:t>
            </w:r>
          </w:p>
        </w:tc>
      </w:tr>
      <w:tr w:rsidR="009E3590" w:rsidRPr="000634A4" w14:paraId="527975F1" w14:textId="77777777" w:rsidTr="001A7530">
        <w:trPr>
          <w:cantSplit/>
          <w:jc w:val="center"/>
        </w:trPr>
        <w:tc>
          <w:tcPr>
            <w:tcW w:w="3960" w:type="dxa"/>
            <w:tcBorders>
              <w:top w:val="single" w:sz="4" w:space="0" w:color="auto"/>
            </w:tcBorders>
          </w:tcPr>
          <w:p w14:paraId="64C59357" w14:textId="4ED24C0C" w:rsidR="0023126E" w:rsidRPr="000634A4" w:rsidRDefault="0023126E" w:rsidP="0023126E">
            <w:pPr>
              <w:rPr>
                <w:sz w:val="22"/>
                <w:szCs w:val="22"/>
              </w:rPr>
            </w:pPr>
            <w:r w:rsidRPr="000634A4">
              <w:rPr>
                <w:sz w:val="22"/>
                <w:szCs w:val="22"/>
              </w:rPr>
              <w:t>Louise C. Forlenza</w:t>
            </w:r>
          </w:p>
        </w:tc>
        <w:tc>
          <w:tcPr>
            <w:tcW w:w="3470" w:type="dxa"/>
          </w:tcPr>
          <w:p w14:paraId="0AB2620D" w14:textId="77777777" w:rsidR="0023126E" w:rsidRPr="000634A4" w:rsidRDefault="0023126E" w:rsidP="0023126E">
            <w:pPr>
              <w:tabs>
                <w:tab w:val="left" w:pos="58"/>
              </w:tabs>
              <w:rPr>
                <w:sz w:val="22"/>
                <w:szCs w:val="22"/>
              </w:rPr>
            </w:pPr>
          </w:p>
        </w:tc>
        <w:tc>
          <w:tcPr>
            <w:tcW w:w="2016" w:type="dxa"/>
          </w:tcPr>
          <w:p w14:paraId="78684058" w14:textId="77777777" w:rsidR="0023126E" w:rsidRPr="000634A4" w:rsidRDefault="0023126E" w:rsidP="0023126E">
            <w:pPr>
              <w:rPr>
                <w:sz w:val="22"/>
                <w:szCs w:val="22"/>
              </w:rPr>
            </w:pPr>
          </w:p>
        </w:tc>
      </w:tr>
      <w:tr w:rsidR="009E3590" w:rsidRPr="000634A4" w14:paraId="6D0F22C0" w14:textId="77777777" w:rsidTr="001A7530">
        <w:trPr>
          <w:cantSplit/>
          <w:jc w:val="center"/>
        </w:trPr>
        <w:tc>
          <w:tcPr>
            <w:tcW w:w="3960" w:type="dxa"/>
          </w:tcPr>
          <w:p w14:paraId="7C72ED0F" w14:textId="77777777" w:rsidR="0023126E" w:rsidRPr="000634A4" w:rsidRDefault="0023126E" w:rsidP="0023126E">
            <w:pPr>
              <w:rPr>
                <w:sz w:val="22"/>
                <w:szCs w:val="22"/>
              </w:rPr>
            </w:pPr>
          </w:p>
        </w:tc>
        <w:tc>
          <w:tcPr>
            <w:tcW w:w="3470" w:type="dxa"/>
          </w:tcPr>
          <w:p w14:paraId="5FFD49BD" w14:textId="77777777" w:rsidR="0023126E" w:rsidRPr="000634A4" w:rsidRDefault="0023126E" w:rsidP="0023126E">
            <w:pPr>
              <w:tabs>
                <w:tab w:val="left" w:pos="58"/>
              </w:tabs>
              <w:rPr>
                <w:sz w:val="22"/>
                <w:szCs w:val="22"/>
              </w:rPr>
            </w:pPr>
          </w:p>
        </w:tc>
        <w:tc>
          <w:tcPr>
            <w:tcW w:w="2016" w:type="dxa"/>
          </w:tcPr>
          <w:p w14:paraId="1302CA14" w14:textId="77777777" w:rsidR="0023126E" w:rsidRPr="000634A4" w:rsidRDefault="0023126E" w:rsidP="0023126E">
            <w:pPr>
              <w:rPr>
                <w:sz w:val="22"/>
                <w:szCs w:val="22"/>
              </w:rPr>
            </w:pPr>
          </w:p>
        </w:tc>
      </w:tr>
      <w:tr w:rsidR="009E3590" w:rsidRPr="000634A4" w14:paraId="61DA7E6E" w14:textId="77777777" w:rsidTr="001A7530">
        <w:trPr>
          <w:cantSplit/>
          <w:jc w:val="center"/>
        </w:trPr>
        <w:tc>
          <w:tcPr>
            <w:tcW w:w="3960" w:type="dxa"/>
            <w:tcBorders>
              <w:bottom w:val="single" w:sz="4" w:space="0" w:color="auto"/>
            </w:tcBorders>
          </w:tcPr>
          <w:p w14:paraId="192D52CC" w14:textId="74BC3934" w:rsidR="0023126E" w:rsidRPr="000634A4" w:rsidRDefault="0023126E" w:rsidP="0023126E">
            <w:pPr>
              <w:rPr>
                <w:sz w:val="22"/>
                <w:szCs w:val="22"/>
              </w:rPr>
            </w:pPr>
            <w:r w:rsidRPr="000634A4">
              <w:rPr>
                <w:sz w:val="22"/>
                <w:szCs w:val="22"/>
              </w:rPr>
              <w:t>/s/ Stewart R. Massey</w:t>
            </w:r>
          </w:p>
        </w:tc>
        <w:tc>
          <w:tcPr>
            <w:tcW w:w="3470" w:type="dxa"/>
          </w:tcPr>
          <w:p w14:paraId="7ACE20F7" w14:textId="73EB7FB7" w:rsidR="0023126E" w:rsidRPr="000634A4" w:rsidRDefault="0023126E" w:rsidP="0023126E">
            <w:pPr>
              <w:tabs>
                <w:tab w:val="left" w:pos="58"/>
              </w:tabs>
              <w:rPr>
                <w:sz w:val="22"/>
                <w:szCs w:val="22"/>
              </w:rPr>
            </w:pPr>
            <w:r w:rsidRPr="000634A4">
              <w:rPr>
                <w:sz w:val="22"/>
                <w:szCs w:val="22"/>
              </w:rPr>
              <w:t>Director</w:t>
            </w:r>
          </w:p>
        </w:tc>
        <w:tc>
          <w:tcPr>
            <w:tcW w:w="2016" w:type="dxa"/>
          </w:tcPr>
          <w:p w14:paraId="50D3A129" w14:textId="3FB135D0" w:rsidR="0023126E" w:rsidRPr="000634A4" w:rsidRDefault="005B3C47" w:rsidP="0023126E">
            <w:pPr>
              <w:rPr>
                <w:sz w:val="22"/>
                <w:szCs w:val="22"/>
              </w:rPr>
            </w:pPr>
            <w:r w:rsidRPr="000634A4">
              <w:rPr>
                <w:sz w:val="22"/>
                <w:szCs w:val="22"/>
              </w:rPr>
              <w:t>February 23, 2023</w:t>
            </w:r>
          </w:p>
        </w:tc>
      </w:tr>
      <w:tr w:rsidR="009E3590" w:rsidRPr="000634A4" w14:paraId="1FBCD763" w14:textId="77777777" w:rsidTr="001A7530">
        <w:trPr>
          <w:cantSplit/>
          <w:jc w:val="center"/>
        </w:trPr>
        <w:tc>
          <w:tcPr>
            <w:tcW w:w="3960" w:type="dxa"/>
            <w:tcBorders>
              <w:top w:val="single" w:sz="4" w:space="0" w:color="auto"/>
            </w:tcBorders>
          </w:tcPr>
          <w:p w14:paraId="356FEB9C" w14:textId="2ED84302" w:rsidR="0023126E" w:rsidRPr="000634A4" w:rsidRDefault="0023126E" w:rsidP="0023126E">
            <w:pPr>
              <w:rPr>
                <w:sz w:val="22"/>
                <w:szCs w:val="22"/>
                <w:u w:val="single"/>
              </w:rPr>
            </w:pPr>
            <w:r w:rsidRPr="000634A4">
              <w:rPr>
                <w:sz w:val="22"/>
                <w:szCs w:val="22"/>
              </w:rPr>
              <w:t>Stewart R. Massey</w:t>
            </w:r>
          </w:p>
        </w:tc>
        <w:tc>
          <w:tcPr>
            <w:tcW w:w="3470" w:type="dxa"/>
          </w:tcPr>
          <w:p w14:paraId="21AE9445" w14:textId="398F7D91" w:rsidR="0023126E" w:rsidRPr="000634A4" w:rsidRDefault="0023126E" w:rsidP="0023126E">
            <w:pPr>
              <w:rPr>
                <w:sz w:val="22"/>
                <w:szCs w:val="22"/>
              </w:rPr>
            </w:pPr>
          </w:p>
        </w:tc>
        <w:tc>
          <w:tcPr>
            <w:tcW w:w="2016" w:type="dxa"/>
          </w:tcPr>
          <w:p w14:paraId="417AD151" w14:textId="50D0F559" w:rsidR="0023126E" w:rsidRPr="000634A4" w:rsidRDefault="0023126E" w:rsidP="0023126E">
            <w:pPr>
              <w:rPr>
                <w:sz w:val="22"/>
                <w:szCs w:val="22"/>
              </w:rPr>
            </w:pPr>
          </w:p>
        </w:tc>
      </w:tr>
      <w:tr w:rsidR="009E3590" w:rsidRPr="000634A4" w14:paraId="4EE9DC44" w14:textId="77777777" w:rsidTr="001A7530">
        <w:trPr>
          <w:cantSplit/>
          <w:jc w:val="center"/>
        </w:trPr>
        <w:tc>
          <w:tcPr>
            <w:tcW w:w="3960" w:type="dxa"/>
          </w:tcPr>
          <w:p w14:paraId="7988A334" w14:textId="77777777" w:rsidR="0023126E" w:rsidRPr="000634A4" w:rsidRDefault="0023126E" w:rsidP="0023126E">
            <w:pPr>
              <w:rPr>
                <w:sz w:val="22"/>
                <w:szCs w:val="22"/>
              </w:rPr>
            </w:pPr>
          </w:p>
        </w:tc>
        <w:tc>
          <w:tcPr>
            <w:tcW w:w="3470" w:type="dxa"/>
          </w:tcPr>
          <w:p w14:paraId="09E9EFD0" w14:textId="77777777" w:rsidR="0023126E" w:rsidRPr="000634A4" w:rsidRDefault="0023126E" w:rsidP="0023126E">
            <w:pPr>
              <w:rPr>
                <w:sz w:val="22"/>
                <w:szCs w:val="22"/>
              </w:rPr>
            </w:pPr>
          </w:p>
        </w:tc>
        <w:tc>
          <w:tcPr>
            <w:tcW w:w="2016" w:type="dxa"/>
          </w:tcPr>
          <w:p w14:paraId="6EA1C405" w14:textId="77777777" w:rsidR="0023126E" w:rsidRPr="000634A4" w:rsidRDefault="0023126E" w:rsidP="0023126E">
            <w:pPr>
              <w:rPr>
                <w:sz w:val="22"/>
                <w:szCs w:val="22"/>
              </w:rPr>
            </w:pPr>
          </w:p>
        </w:tc>
      </w:tr>
      <w:tr w:rsidR="009E3590" w:rsidRPr="000634A4" w14:paraId="7B1639F4" w14:textId="77777777" w:rsidTr="006F5701">
        <w:trPr>
          <w:cantSplit/>
          <w:jc w:val="center"/>
        </w:trPr>
        <w:tc>
          <w:tcPr>
            <w:tcW w:w="3960" w:type="dxa"/>
            <w:tcBorders>
              <w:bottom w:val="single" w:sz="4" w:space="0" w:color="auto"/>
            </w:tcBorders>
          </w:tcPr>
          <w:p w14:paraId="7CB3FEA2" w14:textId="77777777" w:rsidR="0023126E" w:rsidRPr="000634A4" w:rsidRDefault="0023126E" w:rsidP="0023126E">
            <w:pPr>
              <w:rPr>
                <w:sz w:val="22"/>
                <w:szCs w:val="22"/>
              </w:rPr>
            </w:pPr>
            <w:r w:rsidRPr="000634A4">
              <w:rPr>
                <w:sz w:val="22"/>
                <w:szCs w:val="22"/>
              </w:rPr>
              <w:t>/s/ Nauman (Nick) Toor</w:t>
            </w:r>
          </w:p>
        </w:tc>
        <w:tc>
          <w:tcPr>
            <w:tcW w:w="3470" w:type="dxa"/>
          </w:tcPr>
          <w:p w14:paraId="203C7634" w14:textId="1F34D081" w:rsidR="0023126E" w:rsidRPr="000634A4" w:rsidRDefault="0023126E" w:rsidP="0023126E">
            <w:pPr>
              <w:rPr>
                <w:sz w:val="22"/>
                <w:szCs w:val="22"/>
              </w:rPr>
            </w:pPr>
            <w:r w:rsidRPr="000634A4">
              <w:rPr>
                <w:sz w:val="22"/>
                <w:szCs w:val="22"/>
              </w:rPr>
              <w:t xml:space="preserve">Director </w:t>
            </w:r>
            <w:r w:rsidR="0045493A" w:rsidRPr="000634A4">
              <w:rPr>
                <w:sz w:val="22"/>
                <w:szCs w:val="22"/>
              </w:rPr>
              <w:t>(Chairman)</w:t>
            </w:r>
          </w:p>
        </w:tc>
        <w:tc>
          <w:tcPr>
            <w:tcW w:w="2016" w:type="dxa"/>
          </w:tcPr>
          <w:p w14:paraId="4A8F6B5A" w14:textId="47F9B0C6" w:rsidR="0023126E" w:rsidRPr="000634A4" w:rsidRDefault="005B3C47" w:rsidP="0023126E">
            <w:pPr>
              <w:rPr>
                <w:sz w:val="22"/>
                <w:szCs w:val="22"/>
              </w:rPr>
            </w:pPr>
            <w:r w:rsidRPr="000634A4">
              <w:rPr>
                <w:sz w:val="22"/>
                <w:szCs w:val="22"/>
              </w:rPr>
              <w:t>February 23, 2023</w:t>
            </w:r>
          </w:p>
        </w:tc>
      </w:tr>
      <w:tr w:rsidR="009E3590" w:rsidRPr="000634A4" w14:paraId="4FF82F35" w14:textId="77777777" w:rsidTr="006F5701">
        <w:trPr>
          <w:cantSplit/>
          <w:jc w:val="center"/>
        </w:trPr>
        <w:tc>
          <w:tcPr>
            <w:tcW w:w="3960" w:type="dxa"/>
            <w:tcBorders>
              <w:top w:val="single" w:sz="4" w:space="0" w:color="auto"/>
            </w:tcBorders>
          </w:tcPr>
          <w:p w14:paraId="1EBA32D0" w14:textId="77777777" w:rsidR="0023126E" w:rsidRPr="000634A4" w:rsidRDefault="0023126E" w:rsidP="0023126E">
            <w:pPr>
              <w:rPr>
                <w:sz w:val="22"/>
                <w:szCs w:val="22"/>
              </w:rPr>
            </w:pPr>
            <w:r w:rsidRPr="000634A4">
              <w:rPr>
                <w:sz w:val="22"/>
                <w:szCs w:val="22"/>
              </w:rPr>
              <w:t>Nauman (Nick) Toor</w:t>
            </w:r>
          </w:p>
        </w:tc>
        <w:tc>
          <w:tcPr>
            <w:tcW w:w="3470" w:type="dxa"/>
          </w:tcPr>
          <w:p w14:paraId="683C2210" w14:textId="77777777" w:rsidR="0023126E" w:rsidRPr="000634A4" w:rsidRDefault="0023126E" w:rsidP="0023126E">
            <w:pPr>
              <w:rPr>
                <w:sz w:val="22"/>
                <w:szCs w:val="22"/>
              </w:rPr>
            </w:pPr>
          </w:p>
        </w:tc>
        <w:tc>
          <w:tcPr>
            <w:tcW w:w="2016" w:type="dxa"/>
          </w:tcPr>
          <w:p w14:paraId="65F3AB1C" w14:textId="77777777" w:rsidR="0023126E" w:rsidRPr="000634A4" w:rsidRDefault="0023126E" w:rsidP="0023126E">
            <w:pPr>
              <w:rPr>
                <w:sz w:val="22"/>
                <w:szCs w:val="22"/>
              </w:rPr>
            </w:pPr>
          </w:p>
        </w:tc>
      </w:tr>
    </w:tbl>
    <w:p w14:paraId="7F37DC84" w14:textId="77777777" w:rsidR="00A81DCD" w:rsidRPr="000634A4" w:rsidRDefault="00A81DCD" w:rsidP="00A81DCD">
      <w:pPr>
        <w:tabs>
          <w:tab w:val="left" w:pos="274"/>
        </w:tabs>
        <w:rPr>
          <w:sz w:val="22"/>
          <w:szCs w:val="22"/>
        </w:rPr>
        <w:sectPr w:rsidR="00A81DCD" w:rsidRPr="000634A4" w:rsidSect="002C4686">
          <w:footerReference w:type="default" r:id="rId29"/>
          <w:footerReference w:type="first" r:id="rId30"/>
          <w:pgSz w:w="12240" w:h="15840" w:code="1"/>
          <w:pgMar w:top="1152" w:right="1350" w:bottom="1152" w:left="1152" w:header="432" w:footer="432" w:gutter="0"/>
          <w:pgNumType w:start="3"/>
          <w:cols w:space="720"/>
          <w:docGrid w:linePitch="360"/>
        </w:sectPr>
      </w:pPr>
    </w:p>
    <w:p w14:paraId="1D13B31C" w14:textId="77777777" w:rsidR="00A81DCD" w:rsidRPr="000634A4" w:rsidRDefault="00A81DCD" w:rsidP="00A81DCD">
      <w:pPr>
        <w:shd w:val="clear" w:color="auto" w:fill="FFFFFF"/>
        <w:outlineLvl w:val="0"/>
        <w:rPr>
          <w:b/>
          <w:bCs/>
          <w:sz w:val="22"/>
          <w:szCs w:val="22"/>
        </w:rPr>
      </w:pPr>
    </w:p>
    <w:p w14:paraId="17CAF617" w14:textId="77777777" w:rsidR="00A81DCD" w:rsidRPr="000634A4" w:rsidRDefault="00A81DCD" w:rsidP="00A81DCD">
      <w:pPr>
        <w:tabs>
          <w:tab w:val="center" w:pos="4680"/>
        </w:tabs>
        <w:jc w:val="center"/>
        <w:outlineLvl w:val="0"/>
        <w:rPr>
          <w:b/>
          <w:sz w:val="22"/>
          <w:szCs w:val="22"/>
        </w:rPr>
      </w:pPr>
      <w:r w:rsidRPr="000634A4">
        <w:rPr>
          <w:b/>
          <w:sz w:val="22"/>
          <w:szCs w:val="22"/>
        </w:rPr>
        <w:t>INNODATA INC. AND SUBSIDIARIES</w:t>
      </w:r>
    </w:p>
    <w:p w14:paraId="604F9DAE" w14:textId="77777777" w:rsidR="00A81DCD" w:rsidRPr="000634A4" w:rsidRDefault="00A81DCD" w:rsidP="00A81DCD">
      <w:pPr>
        <w:tabs>
          <w:tab w:val="center" w:pos="4680"/>
        </w:tabs>
        <w:jc w:val="center"/>
        <w:rPr>
          <w:b/>
          <w:sz w:val="22"/>
          <w:szCs w:val="22"/>
        </w:rPr>
      </w:pPr>
      <w:r w:rsidRPr="000634A4">
        <w:rPr>
          <w:b/>
          <w:sz w:val="22"/>
          <w:szCs w:val="22"/>
        </w:rPr>
        <w:t>INDEX TO CONSOLIDATED FINANCIAL STATEMENTS</w:t>
      </w:r>
    </w:p>
    <w:p w14:paraId="6961076E" w14:textId="77777777" w:rsidR="00A81DCD" w:rsidRPr="000634A4" w:rsidRDefault="00A81DCD" w:rsidP="00A81DCD">
      <w:pPr>
        <w:tabs>
          <w:tab w:val="left" w:pos="-720"/>
        </w:tabs>
        <w:rPr>
          <w:b/>
          <w:sz w:val="22"/>
          <w:szCs w:val="22"/>
        </w:rPr>
      </w:pPr>
    </w:p>
    <w:tbl>
      <w:tblPr>
        <w:tblW w:w="0" w:type="auto"/>
        <w:tblLayout w:type="fixed"/>
        <w:tblLook w:val="0000" w:firstRow="0" w:lastRow="0" w:firstColumn="0" w:lastColumn="0" w:noHBand="0" w:noVBand="0"/>
      </w:tblPr>
      <w:tblGrid>
        <w:gridCol w:w="7398"/>
        <w:gridCol w:w="522"/>
        <w:gridCol w:w="1524"/>
      </w:tblGrid>
      <w:tr w:rsidR="009E3590" w:rsidRPr="000634A4" w14:paraId="0B2BE0E6" w14:textId="77777777" w:rsidTr="00956717">
        <w:trPr>
          <w:cantSplit/>
          <w:trHeight w:val="333"/>
        </w:trPr>
        <w:tc>
          <w:tcPr>
            <w:tcW w:w="7398" w:type="dxa"/>
          </w:tcPr>
          <w:p w14:paraId="4A670464" w14:textId="77777777" w:rsidR="00A81DCD" w:rsidRPr="000634A4" w:rsidRDefault="00A81DCD" w:rsidP="00A71198">
            <w:pPr>
              <w:tabs>
                <w:tab w:val="left" w:pos="-720"/>
              </w:tabs>
              <w:rPr>
                <w:b/>
                <w:sz w:val="22"/>
                <w:szCs w:val="22"/>
              </w:rPr>
            </w:pPr>
          </w:p>
        </w:tc>
        <w:tc>
          <w:tcPr>
            <w:tcW w:w="2046" w:type="dxa"/>
            <w:gridSpan w:val="2"/>
          </w:tcPr>
          <w:p w14:paraId="6D204CB6" w14:textId="77777777" w:rsidR="00A81DCD" w:rsidRPr="000634A4" w:rsidRDefault="00A81DCD" w:rsidP="00A71198">
            <w:pPr>
              <w:tabs>
                <w:tab w:val="left" w:pos="-720"/>
              </w:tabs>
              <w:jc w:val="center"/>
              <w:rPr>
                <w:b/>
                <w:sz w:val="22"/>
                <w:szCs w:val="22"/>
                <w:u w:val="single"/>
              </w:rPr>
            </w:pPr>
            <w:r w:rsidRPr="000634A4">
              <w:rPr>
                <w:b/>
                <w:sz w:val="22"/>
                <w:szCs w:val="22"/>
                <w:u w:val="single"/>
              </w:rPr>
              <w:t>PAGE</w:t>
            </w:r>
          </w:p>
        </w:tc>
      </w:tr>
      <w:tr w:rsidR="009E3590" w:rsidRPr="000634A4" w14:paraId="79C4C359" w14:textId="77777777" w:rsidTr="00A71198">
        <w:trPr>
          <w:cantSplit/>
        </w:trPr>
        <w:tc>
          <w:tcPr>
            <w:tcW w:w="7398" w:type="dxa"/>
          </w:tcPr>
          <w:p w14:paraId="2D5F97EB" w14:textId="77777777" w:rsidR="00A81DCD" w:rsidRPr="000634A4" w:rsidRDefault="00A81DCD" w:rsidP="00A71198">
            <w:pPr>
              <w:tabs>
                <w:tab w:val="left" w:pos="-720"/>
              </w:tabs>
              <w:rPr>
                <w:b/>
                <w:sz w:val="22"/>
                <w:szCs w:val="22"/>
              </w:rPr>
            </w:pPr>
          </w:p>
        </w:tc>
        <w:tc>
          <w:tcPr>
            <w:tcW w:w="2046" w:type="dxa"/>
            <w:gridSpan w:val="2"/>
          </w:tcPr>
          <w:p w14:paraId="4753ED55" w14:textId="77777777" w:rsidR="00A81DCD" w:rsidRPr="000634A4" w:rsidRDefault="00A81DCD" w:rsidP="00A71198">
            <w:pPr>
              <w:tabs>
                <w:tab w:val="left" w:pos="-720"/>
              </w:tabs>
              <w:jc w:val="center"/>
              <w:rPr>
                <w:b/>
                <w:sz w:val="22"/>
                <w:szCs w:val="22"/>
              </w:rPr>
            </w:pPr>
          </w:p>
        </w:tc>
      </w:tr>
      <w:tr w:rsidR="009E3590" w:rsidRPr="000634A4" w14:paraId="350E7F52" w14:textId="77777777" w:rsidTr="00956717">
        <w:trPr>
          <w:cantSplit/>
        </w:trPr>
        <w:tc>
          <w:tcPr>
            <w:tcW w:w="7920" w:type="dxa"/>
            <w:gridSpan w:val="2"/>
          </w:tcPr>
          <w:p w14:paraId="0C8715A3" w14:textId="48EBE064" w:rsidR="00A81DCD" w:rsidRPr="000634A4" w:rsidRDefault="007B6B58" w:rsidP="00A71198">
            <w:pPr>
              <w:tabs>
                <w:tab w:val="left" w:pos="-720"/>
              </w:tabs>
              <w:rPr>
                <w:sz w:val="22"/>
                <w:szCs w:val="22"/>
              </w:rPr>
            </w:pPr>
            <w:r w:rsidRPr="000634A4">
              <w:rPr>
                <w:sz w:val="22"/>
                <w:szCs w:val="22"/>
              </w:rPr>
              <w:t>Report of the Independent Registered Public Accounting Firm (BDO India LLP; Mumbai, India; PCAOB ID#6074</w:t>
            </w:r>
          </w:p>
        </w:tc>
        <w:tc>
          <w:tcPr>
            <w:tcW w:w="1524" w:type="dxa"/>
          </w:tcPr>
          <w:p w14:paraId="3555BBB3" w14:textId="77777777" w:rsidR="00A81DCD" w:rsidRPr="000634A4" w:rsidRDefault="00A81DCD" w:rsidP="00A71198">
            <w:pPr>
              <w:tabs>
                <w:tab w:val="left" w:pos="-720"/>
              </w:tabs>
              <w:jc w:val="center"/>
              <w:rPr>
                <w:sz w:val="22"/>
                <w:szCs w:val="22"/>
              </w:rPr>
            </w:pPr>
            <w:r w:rsidRPr="000634A4">
              <w:rPr>
                <w:sz w:val="22"/>
                <w:szCs w:val="22"/>
              </w:rPr>
              <w:t>F-2</w:t>
            </w:r>
          </w:p>
        </w:tc>
      </w:tr>
      <w:tr w:rsidR="009E3590" w:rsidRPr="000634A4" w14:paraId="40A259AF" w14:textId="77777777" w:rsidTr="00956717">
        <w:trPr>
          <w:cantSplit/>
        </w:trPr>
        <w:tc>
          <w:tcPr>
            <w:tcW w:w="7920" w:type="dxa"/>
            <w:gridSpan w:val="2"/>
          </w:tcPr>
          <w:p w14:paraId="08373699" w14:textId="77777777" w:rsidR="00A81DCD" w:rsidRPr="000634A4" w:rsidRDefault="00A81DCD" w:rsidP="00A71198">
            <w:pPr>
              <w:tabs>
                <w:tab w:val="left" w:pos="-720"/>
              </w:tabs>
              <w:rPr>
                <w:sz w:val="22"/>
                <w:szCs w:val="22"/>
              </w:rPr>
            </w:pPr>
          </w:p>
        </w:tc>
        <w:tc>
          <w:tcPr>
            <w:tcW w:w="1524" w:type="dxa"/>
          </w:tcPr>
          <w:p w14:paraId="49363BD6" w14:textId="77777777" w:rsidR="00A81DCD" w:rsidRPr="000634A4" w:rsidRDefault="00A81DCD" w:rsidP="00A71198">
            <w:pPr>
              <w:tabs>
                <w:tab w:val="left" w:pos="-720"/>
              </w:tabs>
              <w:jc w:val="center"/>
              <w:rPr>
                <w:sz w:val="22"/>
                <w:szCs w:val="22"/>
              </w:rPr>
            </w:pPr>
          </w:p>
        </w:tc>
      </w:tr>
      <w:tr w:rsidR="009E3590" w:rsidRPr="000634A4" w14:paraId="6D58A613" w14:textId="77777777" w:rsidTr="00956717">
        <w:trPr>
          <w:cantSplit/>
        </w:trPr>
        <w:tc>
          <w:tcPr>
            <w:tcW w:w="7920" w:type="dxa"/>
            <w:gridSpan w:val="2"/>
          </w:tcPr>
          <w:p w14:paraId="2F57595B" w14:textId="384E897C" w:rsidR="00A81DCD" w:rsidRPr="000634A4" w:rsidRDefault="00A81DCD" w:rsidP="00A71198">
            <w:pPr>
              <w:tabs>
                <w:tab w:val="left" w:pos="-720"/>
              </w:tabs>
              <w:rPr>
                <w:b/>
                <w:sz w:val="22"/>
                <w:szCs w:val="22"/>
              </w:rPr>
            </w:pPr>
            <w:r w:rsidRPr="000634A4">
              <w:rPr>
                <w:sz w:val="22"/>
                <w:szCs w:val="22"/>
              </w:rPr>
              <w:t xml:space="preserve">Consolidated Balance Sheets as of December 31, </w:t>
            </w:r>
            <w:r w:rsidR="00572DB6" w:rsidRPr="000634A4">
              <w:rPr>
                <w:sz w:val="22"/>
                <w:szCs w:val="22"/>
              </w:rPr>
              <w:t xml:space="preserve">2022 </w:t>
            </w:r>
            <w:r w:rsidRPr="000634A4">
              <w:rPr>
                <w:sz w:val="22"/>
                <w:szCs w:val="22"/>
              </w:rPr>
              <w:t xml:space="preserve">and </w:t>
            </w:r>
            <w:r w:rsidR="00572DB6" w:rsidRPr="000634A4">
              <w:rPr>
                <w:sz w:val="22"/>
                <w:szCs w:val="22"/>
              </w:rPr>
              <w:t xml:space="preserve">2021 </w:t>
            </w:r>
          </w:p>
        </w:tc>
        <w:tc>
          <w:tcPr>
            <w:tcW w:w="1524" w:type="dxa"/>
          </w:tcPr>
          <w:p w14:paraId="450BB62D" w14:textId="1562FA08" w:rsidR="00A81DCD" w:rsidRPr="000634A4" w:rsidRDefault="00A81DCD" w:rsidP="00A71198">
            <w:pPr>
              <w:tabs>
                <w:tab w:val="left" w:pos="-720"/>
              </w:tabs>
              <w:jc w:val="center"/>
              <w:rPr>
                <w:sz w:val="22"/>
                <w:szCs w:val="22"/>
              </w:rPr>
            </w:pPr>
            <w:r w:rsidRPr="000634A4">
              <w:rPr>
                <w:sz w:val="22"/>
                <w:szCs w:val="22"/>
              </w:rPr>
              <w:t>F-</w:t>
            </w:r>
            <w:r w:rsidR="00780D23" w:rsidRPr="000634A4">
              <w:rPr>
                <w:sz w:val="22"/>
                <w:szCs w:val="22"/>
              </w:rPr>
              <w:t>6</w:t>
            </w:r>
          </w:p>
        </w:tc>
      </w:tr>
      <w:tr w:rsidR="009E3590" w:rsidRPr="000634A4" w14:paraId="6BB9CEE3" w14:textId="77777777" w:rsidTr="00956717">
        <w:trPr>
          <w:cantSplit/>
        </w:trPr>
        <w:tc>
          <w:tcPr>
            <w:tcW w:w="7920" w:type="dxa"/>
            <w:gridSpan w:val="2"/>
          </w:tcPr>
          <w:p w14:paraId="7CE81CE9" w14:textId="77777777" w:rsidR="00A81DCD" w:rsidRPr="000634A4" w:rsidRDefault="00A81DCD" w:rsidP="00A71198">
            <w:pPr>
              <w:tabs>
                <w:tab w:val="left" w:pos="-720"/>
              </w:tabs>
              <w:rPr>
                <w:sz w:val="22"/>
                <w:szCs w:val="22"/>
              </w:rPr>
            </w:pPr>
          </w:p>
        </w:tc>
        <w:tc>
          <w:tcPr>
            <w:tcW w:w="1524" w:type="dxa"/>
          </w:tcPr>
          <w:p w14:paraId="6FAA1A24" w14:textId="77777777" w:rsidR="00A81DCD" w:rsidRPr="000634A4" w:rsidRDefault="00A81DCD" w:rsidP="00A71198">
            <w:pPr>
              <w:tabs>
                <w:tab w:val="left" w:pos="-720"/>
              </w:tabs>
              <w:jc w:val="center"/>
              <w:rPr>
                <w:sz w:val="22"/>
                <w:szCs w:val="22"/>
              </w:rPr>
            </w:pPr>
          </w:p>
        </w:tc>
      </w:tr>
      <w:tr w:rsidR="009E3590" w:rsidRPr="000634A4" w14:paraId="30DF893F" w14:textId="77777777" w:rsidTr="00956717">
        <w:trPr>
          <w:cantSplit/>
        </w:trPr>
        <w:tc>
          <w:tcPr>
            <w:tcW w:w="7920" w:type="dxa"/>
            <w:gridSpan w:val="2"/>
          </w:tcPr>
          <w:p w14:paraId="5242C563" w14:textId="3C09A7B9" w:rsidR="00A81DCD" w:rsidRPr="000634A4" w:rsidRDefault="00A81DCD" w:rsidP="00A71198">
            <w:pPr>
              <w:tabs>
                <w:tab w:val="left" w:pos="-720"/>
              </w:tabs>
              <w:rPr>
                <w:sz w:val="22"/>
                <w:szCs w:val="22"/>
              </w:rPr>
            </w:pPr>
            <w:r w:rsidRPr="000634A4">
              <w:rPr>
                <w:sz w:val="22"/>
                <w:szCs w:val="22"/>
              </w:rPr>
              <w:t xml:space="preserve">Consolidated Statements of Operations and Comprehensive Loss for the years ended December 31, </w:t>
            </w:r>
            <w:r w:rsidR="00572DB6" w:rsidRPr="000634A4">
              <w:rPr>
                <w:sz w:val="22"/>
                <w:szCs w:val="22"/>
              </w:rPr>
              <w:t xml:space="preserve">2022 </w:t>
            </w:r>
            <w:r w:rsidRPr="000634A4">
              <w:rPr>
                <w:sz w:val="22"/>
                <w:szCs w:val="22"/>
              </w:rPr>
              <w:t xml:space="preserve">and </w:t>
            </w:r>
            <w:r w:rsidR="00572DB6" w:rsidRPr="000634A4">
              <w:rPr>
                <w:sz w:val="22"/>
                <w:szCs w:val="22"/>
              </w:rPr>
              <w:t>2021</w:t>
            </w:r>
          </w:p>
        </w:tc>
        <w:tc>
          <w:tcPr>
            <w:tcW w:w="1524" w:type="dxa"/>
          </w:tcPr>
          <w:p w14:paraId="669B4898" w14:textId="77777777" w:rsidR="00A81DCD" w:rsidRPr="000634A4" w:rsidRDefault="00A81DCD" w:rsidP="00A71198">
            <w:pPr>
              <w:tabs>
                <w:tab w:val="left" w:pos="-720"/>
              </w:tabs>
              <w:jc w:val="center"/>
              <w:rPr>
                <w:sz w:val="22"/>
                <w:szCs w:val="22"/>
              </w:rPr>
            </w:pPr>
          </w:p>
          <w:p w14:paraId="6E3CE30E" w14:textId="614CA804" w:rsidR="00A81DCD" w:rsidRPr="000634A4" w:rsidRDefault="00A81DCD" w:rsidP="00A71198">
            <w:pPr>
              <w:tabs>
                <w:tab w:val="left" w:pos="-720"/>
              </w:tabs>
              <w:jc w:val="center"/>
              <w:rPr>
                <w:sz w:val="22"/>
                <w:szCs w:val="22"/>
              </w:rPr>
            </w:pPr>
            <w:r w:rsidRPr="000634A4">
              <w:rPr>
                <w:sz w:val="22"/>
                <w:szCs w:val="22"/>
              </w:rPr>
              <w:t>F-</w:t>
            </w:r>
            <w:r w:rsidR="00780D23" w:rsidRPr="000634A4">
              <w:rPr>
                <w:sz w:val="22"/>
                <w:szCs w:val="22"/>
              </w:rPr>
              <w:t>8</w:t>
            </w:r>
          </w:p>
        </w:tc>
      </w:tr>
      <w:tr w:rsidR="009E3590" w:rsidRPr="000634A4" w14:paraId="1083D3E1" w14:textId="77777777" w:rsidTr="00956717">
        <w:trPr>
          <w:cantSplit/>
        </w:trPr>
        <w:tc>
          <w:tcPr>
            <w:tcW w:w="7920" w:type="dxa"/>
            <w:gridSpan w:val="2"/>
          </w:tcPr>
          <w:p w14:paraId="0AA104CA" w14:textId="77777777" w:rsidR="00A81DCD" w:rsidRPr="000634A4" w:rsidRDefault="00A81DCD" w:rsidP="00A71198">
            <w:pPr>
              <w:tabs>
                <w:tab w:val="left" w:pos="-720"/>
              </w:tabs>
              <w:rPr>
                <w:sz w:val="22"/>
                <w:szCs w:val="22"/>
              </w:rPr>
            </w:pPr>
          </w:p>
        </w:tc>
        <w:tc>
          <w:tcPr>
            <w:tcW w:w="1524" w:type="dxa"/>
          </w:tcPr>
          <w:p w14:paraId="5E41771F" w14:textId="77777777" w:rsidR="00A81DCD" w:rsidRPr="000634A4" w:rsidRDefault="00A81DCD" w:rsidP="00A71198">
            <w:pPr>
              <w:tabs>
                <w:tab w:val="left" w:pos="-720"/>
              </w:tabs>
              <w:jc w:val="center"/>
              <w:rPr>
                <w:sz w:val="22"/>
                <w:szCs w:val="22"/>
              </w:rPr>
            </w:pPr>
          </w:p>
        </w:tc>
      </w:tr>
      <w:tr w:rsidR="009E3590" w:rsidRPr="000634A4" w14:paraId="1C1DF3DD" w14:textId="77777777" w:rsidTr="00956717">
        <w:trPr>
          <w:cantSplit/>
        </w:trPr>
        <w:tc>
          <w:tcPr>
            <w:tcW w:w="7920" w:type="dxa"/>
            <w:gridSpan w:val="2"/>
          </w:tcPr>
          <w:p w14:paraId="2C641CA1" w14:textId="77777777" w:rsidR="00A81DCD" w:rsidRPr="000634A4" w:rsidRDefault="00A81DCD" w:rsidP="00A71198">
            <w:pPr>
              <w:tabs>
                <w:tab w:val="left" w:pos="-720"/>
              </w:tabs>
              <w:rPr>
                <w:sz w:val="22"/>
                <w:szCs w:val="22"/>
              </w:rPr>
            </w:pPr>
            <w:r w:rsidRPr="000634A4">
              <w:rPr>
                <w:sz w:val="22"/>
                <w:szCs w:val="22"/>
              </w:rPr>
              <w:t>Consolidated Statements of Stockholders’ Equity for the years ended</w:t>
            </w:r>
          </w:p>
        </w:tc>
        <w:tc>
          <w:tcPr>
            <w:tcW w:w="1524" w:type="dxa"/>
          </w:tcPr>
          <w:p w14:paraId="17AB27AE" w14:textId="77777777" w:rsidR="00A81DCD" w:rsidRPr="000634A4" w:rsidRDefault="00A81DCD" w:rsidP="00A71198">
            <w:pPr>
              <w:tabs>
                <w:tab w:val="left" w:pos="-720"/>
              </w:tabs>
              <w:jc w:val="center"/>
              <w:rPr>
                <w:sz w:val="22"/>
                <w:szCs w:val="22"/>
              </w:rPr>
            </w:pPr>
          </w:p>
        </w:tc>
      </w:tr>
      <w:tr w:rsidR="009E3590" w:rsidRPr="000634A4" w14:paraId="1B4989EC" w14:textId="77777777" w:rsidTr="00956717">
        <w:trPr>
          <w:cantSplit/>
        </w:trPr>
        <w:tc>
          <w:tcPr>
            <w:tcW w:w="7920" w:type="dxa"/>
            <w:gridSpan w:val="2"/>
          </w:tcPr>
          <w:p w14:paraId="44211ADC" w14:textId="32ABFED9" w:rsidR="00A81DCD" w:rsidRPr="000634A4" w:rsidRDefault="00A81DCD" w:rsidP="00A71198">
            <w:pPr>
              <w:tabs>
                <w:tab w:val="left" w:pos="-720"/>
              </w:tabs>
              <w:rPr>
                <w:sz w:val="22"/>
                <w:szCs w:val="22"/>
              </w:rPr>
            </w:pPr>
            <w:r w:rsidRPr="000634A4">
              <w:rPr>
                <w:sz w:val="22"/>
                <w:szCs w:val="22"/>
              </w:rPr>
              <w:t xml:space="preserve">December 31, </w:t>
            </w:r>
            <w:r w:rsidR="00572DB6" w:rsidRPr="000634A4">
              <w:rPr>
                <w:sz w:val="22"/>
                <w:szCs w:val="22"/>
              </w:rPr>
              <w:t xml:space="preserve">2022 </w:t>
            </w:r>
            <w:r w:rsidRPr="000634A4">
              <w:rPr>
                <w:sz w:val="22"/>
                <w:szCs w:val="22"/>
              </w:rPr>
              <w:t xml:space="preserve">and </w:t>
            </w:r>
            <w:r w:rsidR="00572DB6" w:rsidRPr="000634A4">
              <w:rPr>
                <w:sz w:val="22"/>
                <w:szCs w:val="22"/>
              </w:rPr>
              <w:t>2021</w:t>
            </w:r>
          </w:p>
        </w:tc>
        <w:tc>
          <w:tcPr>
            <w:tcW w:w="1524" w:type="dxa"/>
          </w:tcPr>
          <w:p w14:paraId="45103EE4" w14:textId="449DAE66" w:rsidR="00A81DCD" w:rsidRPr="000634A4" w:rsidRDefault="00A81DCD" w:rsidP="00A71198">
            <w:pPr>
              <w:tabs>
                <w:tab w:val="left" w:pos="-720"/>
              </w:tabs>
              <w:jc w:val="center"/>
              <w:rPr>
                <w:sz w:val="22"/>
                <w:szCs w:val="22"/>
              </w:rPr>
            </w:pPr>
            <w:r w:rsidRPr="000634A4">
              <w:rPr>
                <w:sz w:val="22"/>
                <w:szCs w:val="22"/>
              </w:rPr>
              <w:t>F-</w:t>
            </w:r>
            <w:r w:rsidR="00780D23" w:rsidRPr="000634A4">
              <w:rPr>
                <w:sz w:val="22"/>
                <w:szCs w:val="22"/>
              </w:rPr>
              <w:t>9</w:t>
            </w:r>
          </w:p>
        </w:tc>
      </w:tr>
      <w:tr w:rsidR="009E3590" w:rsidRPr="000634A4" w14:paraId="00E866FE" w14:textId="77777777" w:rsidTr="00956717">
        <w:trPr>
          <w:cantSplit/>
        </w:trPr>
        <w:tc>
          <w:tcPr>
            <w:tcW w:w="7920" w:type="dxa"/>
            <w:gridSpan w:val="2"/>
          </w:tcPr>
          <w:p w14:paraId="6F3CD515" w14:textId="77777777" w:rsidR="00A81DCD" w:rsidRPr="000634A4" w:rsidRDefault="00A81DCD" w:rsidP="00A71198">
            <w:pPr>
              <w:tabs>
                <w:tab w:val="left" w:pos="-720"/>
              </w:tabs>
              <w:rPr>
                <w:sz w:val="22"/>
                <w:szCs w:val="22"/>
              </w:rPr>
            </w:pPr>
          </w:p>
        </w:tc>
        <w:tc>
          <w:tcPr>
            <w:tcW w:w="1524" w:type="dxa"/>
          </w:tcPr>
          <w:p w14:paraId="0BC7893C" w14:textId="77777777" w:rsidR="00A81DCD" w:rsidRPr="000634A4" w:rsidRDefault="00A81DCD" w:rsidP="00A71198">
            <w:pPr>
              <w:tabs>
                <w:tab w:val="left" w:pos="-720"/>
              </w:tabs>
              <w:jc w:val="center"/>
              <w:rPr>
                <w:sz w:val="22"/>
                <w:szCs w:val="22"/>
              </w:rPr>
            </w:pPr>
          </w:p>
        </w:tc>
      </w:tr>
      <w:tr w:rsidR="009E3590" w:rsidRPr="000634A4" w14:paraId="1A005D38" w14:textId="77777777" w:rsidTr="00956717">
        <w:trPr>
          <w:cantSplit/>
        </w:trPr>
        <w:tc>
          <w:tcPr>
            <w:tcW w:w="7920" w:type="dxa"/>
            <w:gridSpan w:val="2"/>
          </w:tcPr>
          <w:p w14:paraId="6EC3C77B" w14:textId="46C34C82" w:rsidR="00A81DCD" w:rsidRPr="000634A4" w:rsidRDefault="00A81DCD" w:rsidP="00A71198">
            <w:pPr>
              <w:tabs>
                <w:tab w:val="left" w:pos="-720"/>
              </w:tabs>
              <w:rPr>
                <w:sz w:val="22"/>
                <w:szCs w:val="22"/>
              </w:rPr>
            </w:pPr>
            <w:bookmarkStart w:id="43" w:name="_Hlk32940644"/>
            <w:r w:rsidRPr="000634A4">
              <w:rPr>
                <w:sz w:val="22"/>
                <w:szCs w:val="22"/>
              </w:rPr>
              <w:t xml:space="preserve">Consolidated Statements of Cash Flows for the years ended December 31, </w:t>
            </w:r>
            <w:r w:rsidR="00572DB6" w:rsidRPr="000634A4">
              <w:rPr>
                <w:sz w:val="22"/>
                <w:szCs w:val="22"/>
              </w:rPr>
              <w:t xml:space="preserve">2022 </w:t>
            </w:r>
          </w:p>
        </w:tc>
        <w:tc>
          <w:tcPr>
            <w:tcW w:w="1524" w:type="dxa"/>
          </w:tcPr>
          <w:p w14:paraId="67C8B623" w14:textId="77777777" w:rsidR="00A81DCD" w:rsidRPr="000634A4" w:rsidRDefault="00A81DCD" w:rsidP="00A71198">
            <w:pPr>
              <w:tabs>
                <w:tab w:val="left" w:pos="-720"/>
              </w:tabs>
              <w:jc w:val="center"/>
              <w:rPr>
                <w:sz w:val="22"/>
                <w:szCs w:val="22"/>
              </w:rPr>
            </w:pPr>
          </w:p>
        </w:tc>
      </w:tr>
      <w:bookmarkEnd w:id="43"/>
      <w:tr w:rsidR="009E3590" w:rsidRPr="000634A4" w14:paraId="47A8E500" w14:textId="77777777" w:rsidTr="00956717">
        <w:trPr>
          <w:cantSplit/>
        </w:trPr>
        <w:tc>
          <w:tcPr>
            <w:tcW w:w="7920" w:type="dxa"/>
            <w:gridSpan w:val="2"/>
          </w:tcPr>
          <w:p w14:paraId="1B04F487" w14:textId="07BADCB2" w:rsidR="00A81DCD" w:rsidRPr="000634A4" w:rsidRDefault="00A81DCD" w:rsidP="00A71198">
            <w:pPr>
              <w:tabs>
                <w:tab w:val="left" w:pos="-720"/>
              </w:tabs>
              <w:rPr>
                <w:sz w:val="22"/>
                <w:szCs w:val="22"/>
              </w:rPr>
            </w:pPr>
            <w:r w:rsidRPr="000634A4">
              <w:rPr>
                <w:sz w:val="22"/>
                <w:szCs w:val="22"/>
              </w:rPr>
              <w:t xml:space="preserve">and </w:t>
            </w:r>
            <w:r w:rsidR="00572DB6" w:rsidRPr="000634A4">
              <w:rPr>
                <w:sz w:val="22"/>
                <w:szCs w:val="22"/>
              </w:rPr>
              <w:t>2021</w:t>
            </w:r>
          </w:p>
        </w:tc>
        <w:tc>
          <w:tcPr>
            <w:tcW w:w="1524" w:type="dxa"/>
          </w:tcPr>
          <w:p w14:paraId="2825A7F3" w14:textId="614F1835" w:rsidR="00A81DCD" w:rsidRPr="000634A4" w:rsidRDefault="00A81DCD" w:rsidP="00A71198">
            <w:pPr>
              <w:tabs>
                <w:tab w:val="left" w:pos="-720"/>
              </w:tabs>
              <w:jc w:val="center"/>
              <w:rPr>
                <w:sz w:val="22"/>
                <w:szCs w:val="22"/>
              </w:rPr>
            </w:pPr>
            <w:r w:rsidRPr="000634A4">
              <w:rPr>
                <w:sz w:val="22"/>
                <w:szCs w:val="22"/>
              </w:rPr>
              <w:t>F-</w:t>
            </w:r>
            <w:r w:rsidR="00780D23" w:rsidRPr="000634A4">
              <w:rPr>
                <w:sz w:val="22"/>
                <w:szCs w:val="22"/>
              </w:rPr>
              <w:t>10</w:t>
            </w:r>
          </w:p>
        </w:tc>
      </w:tr>
      <w:tr w:rsidR="009E3590" w:rsidRPr="000634A4" w14:paraId="77C50BCF" w14:textId="77777777" w:rsidTr="00956717">
        <w:trPr>
          <w:cantSplit/>
        </w:trPr>
        <w:tc>
          <w:tcPr>
            <w:tcW w:w="7920" w:type="dxa"/>
            <w:gridSpan w:val="2"/>
          </w:tcPr>
          <w:p w14:paraId="35661508" w14:textId="77777777" w:rsidR="00A81DCD" w:rsidRPr="000634A4" w:rsidRDefault="00A81DCD" w:rsidP="00A71198">
            <w:pPr>
              <w:tabs>
                <w:tab w:val="left" w:pos="-720"/>
              </w:tabs>
              <w:rPr>
                <w:sz w:val="22"/>
                <w:szCs w:val="22"/>
              </w:rPr>
            </w:pPr>
          </w:p>
        </w:tc>
        <w:tc>
          <w:tcPr>
            <w:tcW w:w="1524" w:type="dxa"/>
          </w:tcPr>
          <w:p w14:paraId="28419A31" w14:textId="77777777" w:rsidR="00A81DCD" w:rsidRPr="000634A4" w:rsidRDefault="00A81DCD" w:rsidP="00A71198">
            <w:pPr>
              <w:tabs>
                <w:tab w:val="left" w:pos="-720"/>
              </w:tabs>
              <w:jc w:val="center"/>
              <w:rPr>
                <w:sz w:val="22"/>
                <w:szCs w:val="22"/>
              </w:rPr>
            </w:pPr>
          </w:p>
        </w:tc>
      </w:tr>
      <w:tr w:rsidR="00A81DCD" w:rsidRPr="000634A4" w14:paraId="283F6D53" w14:textId="77777777" w:rsidTr="00956717">
        <w:trPr>
          <w:cantSplit/>
        </w:trPr>
        <w:tc>
          <w:tcPr>
            <w:tcW w:w="7920" w:type="dxa"/>
            <w:gridSpan w:val="2"/>
          </w:tcPr>
          <w:p w14:paraId="5D630560" w14:textId="77777777" w:rsidR="00A81DCD" w:rsidRPr="000634A4" w:rsidRDefault="00A81DCD" w:rsidP="00A71198">
            <w:pPr>
              <w:tabs>
                <w:tab w:val="left" w:pos="-720"/>
              </w:tabs>
              <w:rPr>
                <w:sz w:val="22"/>
                <w:szCs w:val="22"/>
              </w:rPr>
            </w:pPr>
            <w:r w:rsidRPr="000634A4">
              <w:rPr>
                <w:sz w:val="22"/>
                <w:szCs w:val="22"/>
              </w:rPr>
              <w:t>Notes to Consolidated Financial Statements</w:t>
            </w:r>
          </w:p>
        </w:tc>
        <w:tc>
          <w:tcPr>
            <w:tcW w:w="1524" w:type="dxa"/>
          </w:tcPr>
          <w:p w14:paraId="3AD21369" w14:textId="576D7E54" w:rsidR="00A81DCD" w:rsidRPr="000634A4" w:rsidRDefault="00A81DCD" w:rsidP="00A71198">
            <w:pPr>
              <w:tabs>
                <w:tab w:val="left" w:pos="-720"/>
              </w:tabs>
              <w:jc w:val="center"/>
              <w:rPr>
                <w:sz w:val="22"/>
                <w:szCs w:val="22"/>
              </w:rPr>
            </w:pPr>
            <w:r w:rsidRPr="000634A4">
              <w:rPr>
                <w:sz w:val="22"/>
                <w:szCs w:val="22"/>
              </w:rPr>
              <w:t>F-</w:t>
            </w:r>
            <w:r w:rsidR="00780D23" w:rsidRPr="000634A4">
              <w:rPr>
                <w:sz w:val="22"/>
                <w:szCs w:val="22"/>
              </w:rPr>
              <w:t>11</w:t>
            </w:r>
          </w:p>
        </w:tc>
      </w:tr>
    </w:tbl>
    <w:p w14:paraId="2451DC40" w14:textId="77777777" w:rsidR="00A81DCD" w:rsidRPr="000634A4" w:rsidRDefault="00A81DCD" w:rsidP="00A81DCD">
      <w:pPr>
        <w:shd w:val="clear" w:color="auto" w:fill="FFFFFF"/>
        <w:outlineLvl w:val="0"/>
        <w:rPr>
          <w:b/>
          <w:bCs/>
          <w:sz w:val="22"/>
          <w:szCs w:val="22"/>
        </w:rPr>
      </w:pPr>
    </w:p>
    <w:p w14:paraId="737B4795" w14:textId="77777777" w:rsidR="00A81DCD" w:rsidRPr="000634A4" w:rsidRDefault="00A81DCD" w:rsidP="00A81DCD">
      <w:pPr>
        <w:shd w:val="clear" w:color="auto" w:fill="FFFFFF"/>
        <w:outlineLvl w:val="0"/>
        <w:rPr>
          <w:b/>
          <w:bCs/>
          <w:sz w:val="22"/>
          <w:szCs w:val="22"/>
        </w:rPr>
      </w:pPr>
    </w:p>
    <w:p w14:paraId="5B761224" w14:textId="77777777" w:rsidR="00A81DCD" w:rsidRPr="000634A4" w:rsidRDefault="00A81DCD" w:rsidP="00A81DCD">
      <w:pPr>
        <w:shd w:val="clear" w:color="auto" w:fill="FFFFFF"/>
        <w:outlineLvl w:val="0"/>
        <w:rPr>
          <w:b/>
          <w:bCs/>
          <w:sz w:val="22"/>
          <w:szCs w:val="22"/>
        </w:rPr>
      </w:pPr>
    </w:p>
    <w:p w14:paraId="5BA2E863" w14:textId="77777777" w:rsidR="00A81DCD" w:rsidRPr="000634A4" w:rsidRDefault="00A81DCD" w:rsidP="00A81DCD">
      <w:pPr>
        <w:shd w:val="clear" w:color="auto" w:fill="FFFFFF"/>
        <w:outlineLvl w:val="0"/>
        <w:rPr>
          <w:b/>
          <w:bCs/>
          <w:sz w:val="22"/>
          <w:szCs w:val="22"/>
        </w:rPr>
      </w:pPr>
    </w:p>
    <w:p w14:paraId="13B9FABB" w14:textId="77777777" w:rsidR="00A81DCD" w:rsidRPr="000634A4" w:rsidRDefault="00A81DCD" w:rsidP="00A81DCD">
      <w:pPr>
        <w:shd w:val="clear" w:color="auto" w:fill="FFFFFF"/>
        <w:outlineLvl w:val="0"/>
        <w:rPr>
          <w:b/>
          <w:bCs/>
          <w:sz w:val="22"/>
          <w:szCs w:val="22"/>
        </w:rPr>
      </w:pPr>
    </w:p>
    <w:p w14:paraId="60D48676" w14:textId="77777777" w:rsidR="00A81DCD" w:rsidRPr="000634A4" w:rsidRDefault="00A81DCD" w:rsidP="00A81DCD">
      <w:pPr>
        <w:shd w:val="clear" w:color="auto" w:fill="FFFFFF"/>
        <w:outlineLvl w:val="0"/>
        <w:rPr>
          <w:b/>
          <w:bCs/>
          <w:sz w:val="22"/>
          <w:szCs w:val="22"/>
        </w:rPr>
      </w:pPr>
    </w:p>
    <w:p w14:paraId="5437555A" w14:textId="77777777" w:rsidR="00A81DCD" w:rsidRPr="000634A4" w:rsidRDefault="00A81DCD" w:rsidP="00A81DCD">
      <w:pPr>
        <w:shd w:val="clear" w:color="auto" w:fill="FFFFFF"/>
        <w:outlineLvl w:val="0"/>
        <w:rPr>
          <w:b/>
          <w:bCs/>
          <w:sz w:val="22"/>
          <w:szCs w:val="22"/>
        </w:rPr>
      </w:pPr>
    </w:p>
    <w:p w14:paraId="69D23A87" w14:textId="77777777" w:rsidR="00A81DCD" w:rsidRPr="000634A4" w:rsidRDefault="00A81DCD" w:rsidP="00A81DCD">
      <w:pPr>
        <w:shd w:val="clear" w:color="auto" w:fill="FFFFFF"/>
        <w:outlineLvl w:val="0"/>
        <w:rPr>
          <w:b/>
          <w:bCs/>
          <w:sz w:val="22"/>
          <w:szCs w:val="22"/>
        </w:rPr>
      </w:pPr>
    </w:p>
    <w:p w14:paraId="411C4F45" w14:textId="77777777" w:rsidR="00A81DCD" w:rsidRPr="000634A4" w:rsidRDefault="00A81DCD" w:rsidP="00A81DCD">
      <w:pPr>
        <w:shd w:val="clear" w:color="auto" w:fill="FFFFFF"/>
        <w:outlineLvl w:val="0"/>
        <w:rPr>
          <w:b/>
          <w:bCs/>
          <w:sz w:val="22"/>
          <w:szCs w:val="22"/>
        </w:rPr>
      </w:pPr>
    </w:p>
    <w:p w14:paraId="7619D810" w14:textId="77777777" w:rsidR="00A81DCD" w:rsidRPr="000634A4" w:rsidRDefault="00A81DCD" w:rsidP="00A81DCD">
      <w:pPr>
        <w:shd w:val="clear" w:color="auto" w:fill="FFFFFF"/>
        <w:outlineLvl w:val="0"/>
        <w:rPr>
          <w:b/>
          <w:bCs/>
          <w:sz w:val="22"/>
          <w:szCs w:val="22"/>
        </w:rPr>
      </w:pPr>
    </w:p>
    <w:p w14:paraId="5882E163" w14:textId="77777777" w:rsidR="00A81DCD" w:rsidRPr="000634A4" w:rsidRDefault="00A81DCD" w:rsidP="00A81DCD">
      <w:pPr>
        <w:shd w:val="clear" w:color="auto" w:fill="FFFFFF"/>
        <w:outlineLvl w:val="0"/>
        <w:rPr>
          <w:b/>
          <w:bCs/>
          <w:sz w:val="22"/>
          <w:szCs w:val="22"/>
        </w:rPr>
      </w:pPr>
    </w:p>
    <w:p w14:paraId="300D6B4E" w14:textId="77777777" w:rsidR="00A81DCD" w:rsidRPr="000634A4" w:rsidRDefault="00A81DCD" w:rsidP="00A81DCD">
      <w:pPr>
        <w:shd w:val="clear" w:color="auto" w:fill="FFFFFF"/>
        <w:outlineLvl w:val="0"/>
        <w:rPr>
          <w:b/>
          <w:bCs/>
          <w:sz w:val="22"/>
          <w:szCs w:val="22"/>
        </w:rPr>
      </w:pPr>
    </w:p>
    <w:p w14:paraId="0DDA6F19" w14:textId="77777777" w:rsidR="00A81DCD" w:rsidRPr="000634A4" w:rsidRDefault="00A81DCD" w:rsidP="00A81DCD">
      <w:pPr>
        <w:shd w:val="clear" w:color="auto" w:fill="FFFFFF"/>
        <w:outlineLvl w:val="0"/>
        <w:rPr>
          <w:b/>
          <w:bCs/>
          <w:sz w:val="22"/>
          <w:szCs w:val="22"/>
        </w:rPr>
      </w:pPr>
    </w:p>
    <w:p w14:paraId="0FE4CACE" w14:textId="77777777" w:rsidR="00A81DCD" w:rsidRPr="000634A4" w:rsidRDefault="00A81DCD" w:rsidP="00A81DCD">
      <w:pPr>
        <w:shd w:val="clear" w:color="auto" w:fill="FFFFFF"/>
        <w:outlineLvl w:val="0"/>
        <w:rPr>
          <w:b/>
          <w:bCs/>
          <w:sz w:val="22"/>
          <w:szCs w:val="22"/>
        </w:rPr>
      </w:pPr>
    </w:p>
    <w:p w14:paraId="57450791" w14:textId="77777777" w:rsidR="00A81DCD" w:rsidRPr="000634A4" w:rsidRDefault="00A81DCD" w:rsidP="00A81DCD">
      <w:pPr>
        <w:shd w:val="clear" w:color="auto" w:fill="FFFFFF"/>
        <w:outlineLvl w:val="0"/>
        <w:rPr>
          <w:b/>
          <w:bCs/>
          <w:sz w:val="22"/>
          <w:szCs w:val="22"/>
        </w:rPr>
      </w:pPr>
    </w:p>
    <w:p w14:paraId="0E403180" w14:textId="77777777" w:rsidR="00A81DCD" w:rsidRPr="000634A4" w:rsidRDefault="00A81DCD" w:rsidP="00A81DCD">
      <w:pPr>
        <w:shd w:val="clear" w:color="auto" w:fill="FFFFFF"/>
        <w:outlineLvl w:val="0"/>
        <w:rPr>
          <w:b/>
          <w:bCs/>
          <w:sz w:val="22"/>
          <w:szCs w:val="22"/>
        </w:rPr>
      </w:pPr>
    </w:p>
    <w:p w14:paraId="4FB7BD96" w14:textId="77777777" w:rsidR="00A81DCD" w:rsidRPr="000634A4" w:rsidRDefault="00A81DCD" w:rsidP="00A81DCD">
      <w:pPr>
        <w:shd w:val="clear" w:color="auto" w:fill="FFFFFF"/>
        <w:outlineLvl w:val="0"/>
        <w:rPr>
          <w:b/>
          <w:bCs/>
          <w:sz w:val="22"/>
          <w:szCs w:val="22"/>
        </w:rPr>
      </w:pPr>
    </w:p>
    <w:p w14:paraId="56F10546" w14:textId="77777777" w:rsidR="00A81DCD" w:rsidRPr="000634A4" w:rsidRDefault="00A81DCD" w:rsidP="00A81DCD">
      <w:pPr>
        <w:shd w:val="clear" w:color="auto" w:fill="FFFFFF"/>
        <w:outlineLvl w:val="0"/>
        <w:rPr>
          <w:b/>
          <w:bCs/>
          <w:sz w:val="22"/>
          <w:szCs w:val="22"/>
        </w:rPr>
      </w:pPr>
    </w:p>
    <w:p w14:paraId="776429D7" w14:textId="77777777" w:rsidR="00A81DCD" w:rsidRPr="000634A4" w:rsidRDefault="00A81DCD" w:rsidP="00A81DCD">
      <w:pPr>
        <w:shd w:val="clear" w:color="auto" w:fill="FFFFFF"/>
        <w:outlineLvl w:val="0"/>
        <w:rPr>
          <w:b/>
          <w:bCs/>
          <w:sz w:val="22"/>
          <w:szCs w:val="22"/>
        </w:rPr>
      </w:pPr>
    </w:p>
    <w:p w14:paraId="58A60E05" w14:textId="77777777" w:rsidR="00A81DCD" w:rsidRPr="000634A4" w:rsidRDefault="00A81DCD" w:rsidP="00A81DCD">
      <w:pPr>
        <w:shd w:val="clear" w:color="auto" w:fill="FFFFFF"/>
        <w:outlineLvl w:val="0"/>
        <w:rPr>
          <w:b/>
          <w:bCs/>
          <w:sz w:val="22"/>
          <w:szCs w:val="22"/>
        </w:rPr>
      </w:pPr>
    </w:p>
    <w:p w14:paraId="7574CBD3" w14:textId="77777777" w:rsidR="00A81DCD" w:rsidRPr="000634A4" w:rsidRDefault="00A81DCD" w:rsidP="00A81DCD">
      <w:pPr>
        <w:shd w:val="clear" w:color="auto" w:fill="FFFFFF"/>
        <w:outlineLvl w:val="0"/>
        <w:rPr>
          <w:b/>
          <w:bCs/>
          <w:sz w:val="22"/>
          <w:szCs w:val="22"/>
        </w:rPr>
      </w:pPr>
    </w:p>
    <w:p w14:paraId="1CBC6114" w14:textId="77777777" w:rsidR="00A81DCD" w:rsidRPr="000634A4" w:rsidRDefault="00A81DCD" w:rsidP="00A81DCD">
      <w:pPr>
        <w:shd w:val="clear" w:color="auto" w:fill="FFFFFF"/>
        <w:outlineLvl w:val="0"/>
        <w:rPr>
          <w:b/>
          <w:bCs/>
          <w:sz w:val="22"/>
          <w:szCs w:val="22"/>
        </w:rPr>
      </w:pPr>
    </w:p>
    <w:p w14:paraId="01E506D3" w14:textId="77777777" w:rsidR="00A81DCD" w:rsidRPr="000634A4" w:rsidRDefault="00A81DCD" w:rsidP="00A81DCD">
      <w:pPr>
        <w:shd w:val="clear" w:color="auto" w:fill="FFFFFF"/>
        <w:outlineLvl w:val="0"/>
        <w:rPr>
          <w:b/>
          <w:bCs/>
          <w:sz w:val="22"/>
          <w:szCs w:val="22"/>
        </w:rPr>
      </w:pPr>
    </w:p>
    <w:p w14:paraId="4A4375DD" w14:textId="77777777" w:rsidR="00A81DCD" w:rsidRPr="000634A4" w:rsidRDefault="00A81DCD" w:rsidP="00A81DCD">
      <w:pPr>
        <w:shd w:val="clear" w:color="auto" w:fill="FFFFFF"/>
        <w:outlineLvl w:val="0"/>
        <w:rPr>
          <w:b/>
          <w:bCs/>
          <w:sz w:val="22"/>
          <w:szCs w:val="22"/>
        </w:rPr>
      </w:pPr>
    </w:p>
    <w:p w14:paraId="190D7562" w14:textId="77777777" w:rsidR="00A81DCD" w:rsidRPr="000634A4" w:rsidRDefault="00A81DCD" w:rsidP="00A81DCD">
      <w:pPr>
        <w:shd w:val="clear" w:color="auto" w:fill="FFFFFF"/>
        <w:outlineLvl w:val="0"/>
        <w:rPr>
          <w:b/>
          <w:bCs/>
          <w:sz w:val="22"/>
          <w:szCs w:val="22"/>
        </w:rPr>
      </w:pPr>
    </w:p>
    <w:p w14:paraId="345CEFC4" w14:textId="5C1B7F1C" w:rsidR="00572DB6" w:rsidRPr="000634A4" w:rsidRDefault="00572DB6">
      <w:pPr>
        <w:rPr>
          <w:b/>
          <w:bCs/>
          <w:sz w:val="22"/>
          <w:szCs w:val="22"/>
        </w:rPr>
      </w:pPr>
      <w:r w:rsidRPr="000634A4">
        <w:rPr>
          <w:b/>
          <w:bCs/>
          <w:sz w:val="22"/>
          <w:szCs w:val="22"/>
        </w:rPr>
        <w:br w:type="page"/>
      </w:r>
    </w:p>
    <w:p w14:paraId="4FBA6884" w14:textId="77777777" w:rsidR="000C42FE" w:rsidRPr="007D07C9" w:rsidRDefault="000C42FE" w:rsidP="000C42FE">
      <w:pPr>
        <w:pStyle w:val="Indentthree"/>
        <w:widowControl/>
        <w:spacing w:before="240" w:after="0"/>
        <w:ind w:left="0"/>
        <w:jc w:val="both"/>
        <w:rPr>
          <w:rStyle w:val="NationalText"/>
          <w:rFonts w:ascii="Times New Roman" w:hAnsi="Times New Roman" w:cs="Times New Roman"/>
          <w:b/>
          <w:color w:val="000000"/>
          <w:sz w:val="22"/>
          <w:szCs w:val="22"/>
        </w:rPr>
      </w:pPr>
      <w:r w:rsidRPr="007D07C9">
        <w:rPr>
          <w:rStyle w:val="NationalText"/>
          <w:rFonts w:ascii="Times New Roman" w:hAnsi="Times New Roman" w:cs="Times New Roman"/>
          <w:b/>
          <w:color w:val="000000"/>
          <w:sz w:val="22"/>
          <w:szCs w:val="22"/>
        </w:rPr>
        <w:lastRenderedPageBreak/>
        <w:t>Report of Independent Registered Public Accounting Firm</w:t>
      </w:r>
    </w:p>
    <w:p w14:paraId="3D487123" w14:textId="77777777" w:rsidR="000C42FE" w:rsidRPr="007D07C9" w:rsidRDefault="000C42FE" w:rsidP="000C42FE">
      <w:pPr>
        <w:pStyle w:val="Indentthree"/>
        <w:widowControl/>
        <w:spacing w:before="240" w:after="0"/>
        <w:ind w:left="0"/>
        <w:jc w:val="both"/>
        <w:rPr>
          <w:rStyle w:val="NationalText"/>
          <w:rFonts w:ascii="Times New Roman" w:hAnsi="Times New Roman" w:cs="Times New Roman"/>
          <w:color w:val="000000"/>
          <w:sz w:val="22"/>
          <w:szCs w:val="22"/>
        </w:rPr>
      </w:pPr>
      <w:r w:rsidRPr="007D07C9">
        <w:rPr>
          <w:rStyle w:val="NationalText"/>
          <w:rFonts w:ascii="Times New Roman" w:hAnsi="Times New Roman" w:cs="Times New Roman"/>
          <w:color w:val="000000"/>
          <w:sz w:val="22"/>
          <w:szCs w:val="22"/>
        </w:rPr>
        <w:t>Shareholders and Board of Directors</w:t>
      </w:r>
    </w:p>
    <w:p w14:paraId="1F2915BF" w14:textId="77777777" w:rsidR="000C42FE" w:rsidRDefault="000C42FE" w:rsidP="000C42FE">
      <w:pPr>
        <w:pStyle w:val="Hangone"/>
        <w:widowControl/>
        <w:tabs>
          <w:tab w:val="clear" w:pos="900"/>
        </w:tabs>
        <w:spacing w:after="0"/>
        <w:ind w:left="0" w:firstLine="0"/>
        <w:rPr>
          <w:rStyle w:val="NationalText"/>
          <w:rFonts w:ascii="Times New Roman" w:hAnsi="Times New Roman" w:cs="Times New Roman"/>
          <w:color w:val="000000"/>
          <w:sz w:val="22"/>
          <w:szCs w:val="22"/>
        </w:rPr>
      </w:pPr>
      <w:r w:rsidRPr="007D07C9">
        <w:rPr>
          <w:rStyle w:val="NationalText"/>
          <w:rFonts w:ascii="Times New Roman" w:hAnsi="Times New Roman" w:cs="Times New Roman"/>
          <w:color w:val="000000"/>
          <w:sz w:val="22"/>
          <w:szCs w:val="22"/>
        </w:rPr>
        <w:t>Innodata Inc.</w:t>
      </w:r>
    </w:p>
    <w:p w14:paraId="43450C05" w14:textId="22DE34B1" w:rsidR="000C444B" w:rsidRPr="007D07C9" w:rsidRDefault="000C444B" w:rsidP="000C42FE">
      <w:pPr>
        <w:pStyle w:val="Hangone"/>
        <w:widowControl/>
        <w:tabs>
          <w:tab w:val="clear" w:pos="900"/>
        </w:tabs>
        <w:spacing w:after="0"/>
        <w:ind w:left="0" w:firstLine="0"/>
        <w:rPr>
          <w:rStyle w:val="NationalText"/>
          <w:rFonts w:ascii="Times New Roman" w:hAnsi="Times New Roman" w:cs="Times New Roman"/>
          <w:color w:val="000000"/>
          <w:sz w:val="22"/>
          <w:szCs w:val="22"/>
        </w:rPr>
      </w:pPr>
      <w:r>
        <w:rPr>
          <w:rStyle w:val="NationalText"/>
          <w:rFonts w:ascii="Times New Roman" w:hAnsi="Times New Roman" w:cs="Times New Roman"/>
          <w:color w:val="000000"/>
          <w:sz w:val="22"/>
          <w:szCs w:val="22"/>
        </w:rPr>
        <w:t>Ridge</w:t>
      </w:r>
      <w:r w:rsidR="00433D6F">
        <w:rPr>
          <w:rStyle w:val="NationalText"/>
          <w:rFonts w:ascii="Times New Roman" w:hAnsi="Times New Roman" w:cs="Times New Roman"/>
          <w:color w:val="000000"/>
          <w:sz w:val="22"/>
          <w:szCs w:val="22"/>
        </w:rPr>
        <w:t>field Park, New Jersey</w:t>
      </w:r>
    </w:p>
    <w:p w14:paraId="0634058D" w14:textId="77777777" w:rsidR="000C42FE" w:rsidRPr="007D07C9" w:rsidRDefault="000C42FE" w:rsidP="000C42FE">
      <w:pPr>
        <w:pStyle w:val="Hangone"/>
        <w:widowControl/>
        <w:tabs>
          <w:tab w:val="clear" w:pos="900"/>
        </w:tabs>
        <w:spacing w:before="240" w:after="0"/>
        <w:ind w:left="0" w:firstLine="0"/>
        <w:rPr>
          <w:rStyle w:val="NationalText"/>
          <w:rFonts w:ascii="Times New Roman" w:hAnsi="Times New Roman" w:cs="Times New Roman"/>
          <w:b/>
          <w:color w:val="000000"/>
          <w:sz w:val="22"/>
          <w:szCs w:val="22"/>
        </w:rPr>
      </w:pPr>
      <w:r w:rsidRPr="007D07C9">
        <w:rPr>
          <w:rStyle w:val="NationalText"/>
          <w:rFonts w:ascii="Times New Roman" w:hAnsi="Times New Roman" w:cs="Times New Roman"/>
          <w:b/>
          <w:color w:val="000000"/>
          <w:sz w:val="22"/>
          <w:szCs w:val="22"/>
        </w:rPr>
        <w:t>Opinion on the Consolidated Financial Statements</w:t>
      </w:r>
    </w:p>
    <w:p w14:paraId="14C59870" w14:textId="77777777" w:rsidR="000C42FE" w:rsidRPr="007D07C9" w:rsidRDefault="000C42FE" w:rsidP="000A6B35">
      <w:pPr>
        <w:pStyle w:val="Hangone"/>
        <w:widowControl/>
        <w:tabs>
          <w:tab w:val="clear" w:pos="900"/>
        </w:tabs>
        <w:spacing w:before="240" w:after="0"/>
        <w:ind w:left="0" w:firstLine="720"/>
        <w:rPr>
          <w:rStyle w:val="NationalText"/>
          <w:rFonts w:ascii="Times New Roman" w:hAnsi="Times New Roman" w:cs="Times New Roman"/>
          <w:color w:val="000000"/>
          <w:sz w:val="22"/>
          <w:szCs w:val="22"/>
        </w:rPr>
      </w:pPr>
      <w:r w:rsidRPr="007D07C9">
        <w:rPr>
          <w:rStyle w:val="NationalText"/>
          <w:rFonts w:ascii="Times New Roman" w:hAnsi="Times New Roman" w:cs="Times New Roman"/>
          <w:color w:val="000000"/>
          <w:sz w:val="22"/>
          <w:szCs w:val="22"/>
        </w:rPr>
        <w:t>We have audited the accompanying consolidated balance sheets of Innodata Inc. (the “Company”) as of December 31, 2022 and 2021, the related consolidated statements of operation and comprehensive loss, stockholders’ equity, and cash flows</w:t>
      </w:r>
      <w:r w:rsidRPr="007D07C9">
        <w:rPr>
          <w:rFonts w:ascii="Times New Roman" w:hAnsi="Times New Roman"/>
          <w:sz w:val="22"/>
          <w:szCs w:val="22"/>
        </w:rPr>
        <w:t xml:space="preserve"> </w:t>
      </w:r>
      <w:r w:rsidRPr="007D07C9">
        <w:rPr>
          <w:rStyle w:val="NationalText"/>
          <w:rFonts w:ascii="Times New Roman" w:hAnsi="Times New Roman" w:cs="Times New Roman"/>
          <w:color w:val="000000"/>
          <w:sz w:val="22"/>
          <w:szCs w:val="22"/>
        </w:rPr>
        <w:t>for each of the years then ended, and the related notes (collectively referred to as the “consolidated financial statements”). In our opinion, the consolidated financial statements present fairly, in all material respects, the financial position of the Company at December 31, 2022 and 2021, and the results of its operations and its cash flows for the years then ended</w:t>
      </w:r>
      <w:r w:rsidRPr="007D07C9">
        <w:rPr>
          <w:rStyle w:val="NationalText"/>
          <w:rFonts w:ascii="Times New Roman" w:hAnsi="Times New Roman" w:cs="Times New Roman"/>
          <w:b/>
          <w:bCs/>
          <w:color w:val="000000"/>
          <w:sz w:val="22"/>
          <w:szCs w:val="22"/>
        </w:rPr>
        <w:t>,</w:t>
      </w:r>
      <w:r w:rsidRPr="007D07C9">
        <w:rPr>
          <w:rStyle w:val="NationalText"/>
          <w:rFonts w:ascii="Times New Roman" w:hAnsi="Times New Roman" w:cs="Times New Roman"/>
          <w:color w:val="000000"/>
          <w:sz w:val="22"/>
          <w:szCs w:val="22"/>
        </w:rPr>
        <w:t xml:space="preserve"> in conformity with accounting principles generally accepted in the United States of America.</w:t>
      </w:r>
    </w:p>
    <w:p w14:paraId="7B75CC96" w14:textId="77777777" w:rsidR="000C42FE" w:rsidRPr="007D07C9" w:rsidRDefault="000C42FE" w:rsidP="000C42FE">
      <w:pPr>
        <w:pStyle w:val="Hangone"/>
        <w:widowControl/>
        <w:tabs>
          <w:tab w:val="clear" w:pos="900"/>
        </w:tabs>
        <w:spacing w:before="240" w:after="0"/>
        <w:ind w:left="0" w:firstLine="0"/>
        <w:rPr>
          <w:rStyle w:val="NationalText"/>
          <w:rFonts w:ascii="Times New Roman" w:hAnsi="Times New Roman" w:cs="Times New Roman"/>
          <w:b/>
          <w:color w:val="000000"/>
          <w:sz w:val="22"/>
          <w:szCs w:val="22"/>
        </w:rPr>
      </w:pPr>
      <w:r w:rsidRPr="007D07C9">
        <w:rPr>
          <w:rStyle w:val="NationalText"/>
          <w:rFonts w:ascii="Times New Roman" w:hAnsi="Times New Roman" w:cs="Times New Roman"/>
          <w:b/>
          <w:color w:val="000000"/>
          <w:sz w:val="22"/>
          <w:szCs w:val="22"/>
        </w:rPr>
        <w:t>Basis for Opinion</w:t>
      </w:r>
    </w:p>
    <w:p w14:paraId="713696C4" w14:textId="77777777" w:rsidR="000C42FE" w:rsidRPr="007D07C9" w:rsidRDefault="000C42FE" w:rsidP="000A6B35">
      <w:pPr>
        <w:pStyle w:val="Hangone"/>
        <w:widowControl/>
        <w:tabs>
          <w:tab w:val="clear" w:pos="900"/>
        </w:tabs>
        <w:spacing w:before="240" w:after="0"/>
        <w:ind w:left="0" w:firstLine="720"/>
        <w:rPr>
          <w:rStyle w:val="NationalText"/>
          <w:rFonts w:ascii="Times New Roman" w:hAnsi="Times New Roman" w:cs="Times New Roman"/>
          <w:color w:val="000000"/>
          <w:sz w:val="22"/>
          <w:szCs w:val="22"/>
        </w:rPr>
      </w:pPr>
      <w:r w:rsidRPr="007D07C9">
        <w:rPr>
          <w:rStyle w:val="NationalText"/>
          <w:rFonts w:ascii="Times New Roman" w:hAnsi="Times New Roman" w:cs="Times New Roman"/>
          <w:color w:val="000000"/>
          <w:sz w:val="22"/>
          <w:szCs w:val="22"/>
        </w:rPr>
        <w:t>These consolidated financial statements are the responsibility of the Company’s management. Our responsibility is to express an opinion on the Company’s consolidated financial statements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14:paraId="5642DC35" w14:textId="77777777" w:rsidR="000C42FE" w:rsidRPr="007D07C9" w:rsidRDefault="000C42FE" w:rsidP="000A6B35">
      <w:pPr>
        <w:pStyle w:val="Indenttwo"/>
        <w:widowControl/>
        <w:spacing w:before="240" w:after="0"/>
        <w:ind w:left="0" w:firstLine="720"/>
        <w:rPr>
          <w:rStyle w:val="NationalText"/>
          <w:rFonts w:ascii="Times New Roman" w:hAnsi="Times New Roman" w:cs="Times New Roman"/>
          <w:color w:val="000000"/>
          <w:sz w:val="22"/>
          <w:szCs w:val="22"/>
        </w:rPr>
      </w:pPr>
      <w:r w:rsidRPr="007D07C9">
        <w:rPr>
          <w:rStyle w:val="NationalText"/>
          <w:rFonts w:ascii="Times New Roman" w:hAnsi="Times New Roman" w:cs="Times New Roman"/>
          <w:color w:val="000000"/>
          <w:sz w:val="22"/>
          <w:szCs w:val="22"/>
        </w:rPr>
        <w:t xml:space="preserve">We conducted our audits in </w:t>
      </w:r>
      <w:r w:rsidRPr="00C83FFE">
        <w:rPr>
          <w:rStyle w:val="NationalText"/>
          <w:rFonts w:ascii="Times New Roman" w:hAnsi="Times New Roman" w:cs="Times New Roman"/>
          <w:color w:val="auto"/>
          <w:sz w:val="22"/>
          <w:szCs w:val="22"/>
        </w:rPr>
        <w:t xml:space="preserve">accordance with the standards of the PCAOB. Those standards require that we plan and perform the audit to obtain reasonable assurance about whether the consolidated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w:t>
      </w:r>
      <w:r w:rsidRPr="007D07C9">
        <w:rPr>
          <w:rStyle w:val="NationalText"/>
          <w:rFonts w:ascii="Times New Roman" w:hAnsi="Times New Roman" w:cs="Times New Roman"/>
          <w:color w:val="000000"/>
          <w:sz w:val="22"/>
          <w:szCs w:val="22"/>
        </w:rPr>
        <w:t>reporting but not for the purpose of expressing an opinion on the effectiveness of the Company’s internal control over financial reporting. Accordingly, we express no such opinion.</w:t>
      </w:r>
    </w:p>
    <w:p w14:paraId="5E06B299" w14:textId="77777777" w:rsidR="000C42FE" w:rsidRPr="007D07C9" w:rsidRDefault="000C42FE" w:rsidP="000A6B35">
      <w:pPr>
        <w:pStyle w:val="Indenttwo"/>
        <w:widowControl/>
        <w:spacing w:before="240" w:after="0"/>
        <w:ind w:left="0" w:firstLine="720"/>
        <w:rPr>
          <w:rStyle w:val="NationalText"/>
          <w:rFonts w:ascii="Times New Roman" w:hAnsi="Times New Roman" w:cs="Times New Roman"/>
          <w:color w:val="000000"/>
          <w:sz w:val="22"/>
          <w:szCs w:val="22"/>
        </w:rPr>
      </w:pPr>
      <w:r w:rsidRPr="007D07C9">
        <w:rPr>
          <w:rFonts w:ascii="Times New Roman" w:hAnsi="Times New Roman"/>
          <w:color w:val="000000"/>
          <w:sz w:val="22"/>
          <w:szCs w:val="22"/>
        </w:rPr>
        <w:t xml:space="preserve">Our audits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consolidated financial statements. Our audits also included evaluating the accounting principles used and significant estimates made by management, as well as evaluating the overall presentation of the consolidated financial statements. </w:t>
      </w:r>
      <w:r w:rsidRPr="007D07C9">
        <w:rPr>
          <w:rStyle w:val="NationalText"/>
          <w:rFonts w:ascii="Times New Roman" w:hAnsi="Times New Roman" w:cs="Times New Roman"/>
          <w:color w:val="000000"/>
          <w:sz w:val="22"/>
          <w:szCs w:val="22"/>
        </w:rPr>
        <w:t>We believe that our audits provide a reasonable basis for our opinion.</w:t>
      </w:r>
    </w:p>
    <w:p w14:paraId="41FE6D26" w14:textId="77777777" w:rsidR="000C42FE" w:rsidRPr="007D07C9" w:rsidRDefault="000C42FE" w:rsidP="000C42FE">
      <w:pPr>
        <w:pStyle w:val="Hangone"/>
        <w:widowControl/>
        <w:tabs>
          <w:tab w:val="clear" w:pos="900"/>
        </w:tabs>
        <w:spacing w:before="240" w:after="0"/>
        <w:ind w:left="0" w:firstLine="0"/>
        <w:rPr>
          <w:rStyle w:val="NationalText"/>
          <w:rFonts w:ascii="Times New Roman" w:hAnsi="Times New Roman" w:cs="Times New Roman"/>
          <w:b/>
          <w:color w:val="000000"/>
          <w:sz w:val="22"/>
          <w:szCs w:val="22"/>
        </w:rPr>
      </w:pPr>
      <w:r w:rsidRPr="007D07C9">
        <w:rPr>
          <w:rStyle w:val="NationalText"/>
          <w:rFonts w:ascii="Times New Roman" w:hAnsi="Times New Roman" w:cs="Times New Roman"/>
          <w:b/>
          <w:color w:val="000000"/>
          <w:sz w:val="22"/>
          <w:szCs w:val="22"/>
        </w:rPr>
        <w:t>Critical Audit Matter</w:t>
      </w:r>
    </w:p>
    <w:p w14:paraId="58AE3547" w14:textId="3F5165CE" w:rsidR="000C42FE" w:rsidRPr="007D07C9" w:rsidRDefault="000C42FE" w:rsidP="000A6B35">
      <w:pPr>
        <w:pStyle w:val="Indenttwo"/>
        <w:spacing w:before="240" w:after="0"/>
        <w:ind w:left="0" w:firstLine="720"/>
        <w:rPr>
          <w:rFonts w:ascii="Times New Roman" w:hAnsi="Times New Roman"/>
          <w:sz w:val="22"/>
          <w:szCs w:val="22"/>
        </w:rPr>
      </w:pPr>
      <w:r w:rsidRPr="000A6B35">
        <w:rPr>
          <w:rFonts w:ascii="Times New Roman" w:hAnsi="Times New Roman"/>
          <w:color w:val="000000"/>
          <w:sz w:val="22"/>
          <w:szCs w:val="22"/>
        </w:rPr>
        <w:t>The critical audit matter communicated below is a matter arising from the current period audit of the</w:t>
      </w:r>
      <w:r w:rsidRPr="007D07C9">
        <w:rPr>
          <w:rFonts w:ascii="Times New Roman" w:hAnsi="Times New Roman"/>
          <w:sz w:val="22"/>
          <w:szCs w:val="22"/>
        </w:rPr>
        <w:t xml:space="preserve"> consolidated financial statements that was communicated or required to be communicated to the audit committee and that: (1) relate</w:t>
      </w:r>
      <w:r w:rsidR="000C444B">
        <w:rPr>
          <w:rFonts w:ascii="Times New Roman" w:hAnsi="Times New Roman"/>
          <w:sz w:val="22"/>
          <w:szCs w:val="22"/>
        </w:rPr>
        <w:t>s</w:t>
      </w:r>
      <w:r w:rsidRPr="007D07C9">
        <w:rPr>
          <w:rFonts w:ascii="Times New Roman" w:hAnsi="Times New Roman"/>
          <w:sz w:val="22"/>
          <w:szCs w:val="22"/>
        </w:rPr>
        <w:t xml:space="preserve"> to accounts or disclosures that are material to the consolidated financial statements and (2) involved our especially challenging, subjective, or complex judgments. The communication of critical audit matter does not alter in any way our opinion on the consolidated financial statements, taken as a whole, and we are not, by communicating the critical audit matter below, providing separate opinions on the critical audit matter or on the accounts or disclosures to which it relates.</w:t>
      </w:r>
    </w:p>
    <w:p w14:paraId="6A6167D6" w14:textId="77777777" w:rsidR="000C42FE" w:rsidRPr="007D07C9" w:rsidRDefault="000C42FE" w:rsidP="000C42FE">
      <w:pPr>
        <w:pStyle w:val="Indenttwo"/>
        <w:numPr>
          <w:ilvl w:val="0"/>
          <w:numId w:val="38"/>
        </w:numPr>
        <w:snapToGrid/>
        <w:spacing w:before="240"/>
        <w:ind w:left="284" w:hanging="284"/>
        <w:rPr>
          <w:rFonts w:ascii="Times New Roman" w:hAnsi="Times New Roman"/>
          <w:b/>
          <w:bCs/>
          <w:iCs/>
          <w:sz w:val="22"/>
          <w:szCs w:val="22"/>
        </w:rPr>
      </w:pPr>
      <w:r w:rsidRPr="007D07C9">
        <w:rPr>
          <w:rFonts w:ascii="Times New Roman" w:hAnsi="Times New Roman"/>
          <w:b/>
          <w:bCs/>
          <w:iCs/>
          <w:sz w:val="22"/>
          <w:szCs w:val="22"/>
        </w:rPr>
        <w:t>Measurement of the provision for income tax exposures</w:t>
      </w:r>
    </w:p>
    <w:p w14:paraId="6F5112FC" w14:textId="77777777" w:rsidR="000C42FE" w:rsidRPr="007D07C9" w:rsidRDefault="000C42FE" w:rsidP="000C42FE">
      <w:pPr>
        <w:pStyle w:val="Indenttwo"/>
        <w:widowControl/>
        <w:tabs>
          <w:tab w:val="left" w:pos="0"/>
        </w:tabs>
        <w:spacing w:after="0"/>
        <w:ind w:left="0"/>
        <w:rPr>
          <w:rFonts w:ascii="Times New Roman" w:hAnsi="Times New Roman"/>
          <w:b/>
          <w:bCs/>
          <w:sz w:val="22"/>
          <w:szCs w:val="22"/>
        </w:rPr>
      </w:pPr>
      <w:r w:rsidRPr="007D07C9">
        <w:rPr>
          <w:rFonts w:ascii="Times New Roman" w:hAnsi="Times New Roman"/>
          <w:b/>
          <w:bCs/>
          <w:sz w:val="22"/>
          <w:szCs w:val="22"/>
        </w:rPr>
        <w:t>Description of Matter</w:t>
      </w:r>
    </w:p>
    <w:p w14:paraId="14524EA7" w14:textId="77777777" w:rsidR="000C42FE" w:rsidRPr="007D07C9" w:rsidRDefault="000C42FE" w:rsidP="000C42FE">
      <w:pPr>
        <w:pStyle w:val="Indenttwo"/>
        <w:widowControl/>
        <w:spacing w:after="0"/>
        <w:ind w:left="0"/>
        <w:rPr>
          <w:rStyle w:val="NationalText"/>
          <w:rFonts w:ascii="Times New Roman" w:hAnsi="Times New Roman" w:cs="Times New Roman"/>
          <w:sz w:val="22"/>
          <w:szCs w:val="22"/>
        </w:rPr>
      </w:pPr>
    </w:p>
    <w:p w14:paraId="34A00EF2" w14:textId="77777777" w:rsidR="000C42FE" w:rsidRPr="00C83FFE" w:rsidRDefault="000C42FE" w:rsidP="000A6B35">
      <w:pPr>
        <w:pStyle w:val="Indenttwo"/>
        <w:widowControl/>
        <w:ind w:left="0" w:firstLine="720"/>
        <w:rPr>
          <w:rStyle w:val="NationalText"/>
          <w:rFonts w:ascii="Times New Roman" w:hAnsi="Times New Roman" w:cs="Times New Roman"/>
          <w:color w:val="auto"/>
          <w:sz w:val="22"/>
          <w:szCs w:val="22"/>
        </w:rPr>
      </w:pPr>
      <w:r w:rsidRPr="00C83FFE">
        <w:rPr>
          <w:rStyle w:val="NationalText"/>
          <w:rFonts w:ascii="Times New Roman" w:hAnsi="Times New Roman" w:cs="Times New Roman"/>
          <w:color w:val="auto"/>
          <w:sz w:val="22"/>
          <w:szCs w:val="22"/>
        </w:rPr>
        <w:lastRenderedPageBreak/>
        <w:t>The Company is subject to income taxes in multiple tax jurisdictions and during the ordinary course of business, there are many tax positions for which the ultimate tax determination is uncertain due to complexities of transfer pricing and changing tax laws, and is involved in various tax litigations with respective tax authorities. Uncertainties arise primarily from certain ongoing tax litigations and open tax years for its foreign subsidiaries. As described in Note 4 to the consolidated financial statements, at December 31, 2022, the Company has recorded unrecognized tax benefits of $1.7 million for uncertain tax positions.</w:t>
      </w:r>
    </w:p>
    <w:p w14:paraId="3C28D664" w14:textId="77777777" w:rsidR="009308E3" w:rsidRDefault="009308E3" w:rsidP="009308E3">
      <w:pPr>
        <w:pStyle w:val="Indenttwo"/>
        <w:widowControl/>
        <w:ind w:left="0" w:firstLine="720"/>
        <w:rPr>
          <w:rStyle w:val="NationalText"/>
          <w:rFonts w:ascii="Times New Roman" w:hAnsi="Times New Roman" w:cs="Times New Roman"/>
          <w:color w:val="auto"/>
          <w:sz w:val="22"/>
          <w:szCs w:val="22"/>
        </w:rPr>
      </w:pPr>
    </w:p>
    <w:p w14:paraId="7B6A2F2E" w14:textId="0E99C50A" w:rsidR="000C42FE" w:rsidRPr="00C83FFE" w:rsidRDefault="000C42FE" w:rsidP="00C83FFE">
      <w:pPr>
        <w:pStyle w:val="Indenttwo"/>
        <w:widowControl/>
        <w:ind w:left="0" w:firstLine="720"/>
        <w:rPr>
          <w:rStyle w:val="NationalText"/>
          <w:rFonts w:ascii="Times New Roman" w:hAnsi="Times New Roman" w:cs="Times New Roman"/>
          <w:color w:val="auto"/>
          <w:sz w:val="22"/>
          <w:szCs w:val="22"/>
        </w:rPr>
      </w:pPr>
      <w:r w:rsidRPr="00C83FFE">
        <w:rPr>
          <w:rStyle w:val="NationalText"/>
          <w:rFonts w:ascii="Times New Roman" w:hAnsi="Times New Roman" w:cs="Times New Roman"/>
          <w:color w:val="auto"/>
          <w:sz w:val="22"/>
          <w:szCs w:val="22"/>
        </w:rPr>
        <w:t>We identified measurement of accruals for the aforementioned income tax exposures as a critical audit matter, as the amounts involved are material, and the determination of provision for taxes requires the Company to make judgments on tax issues and develop estimates regarding the Company’s exposure to tax risks. Further, auditing management judgments on whether the tax positions are probable of being sustained in tax assessments involves a high degree of subjectivity.</w:t>
      </w:r>
    </w:p>
    <w:p w14:paraId="73FF619F" w14:textId="77777777" w:rsidR="009308E3" w:rsidRDefault="009308E3" w:rsidP="000C42FE">
      <w:pPr>
        <w:pStyle w:val="Indenttwo"/>
        <w:widowControl/>
        <w:spacing w:after="0"/>
        <w:ind w:left="0"/>
        <w:rPr>
          <w:rStyle w:val="NationalText"/>
          <w:rFonts w:ascii="Times New Roman" w:hAnsi="Times New Roman" w:cs="Times New Roman"/>
          <w:b/>
          <w:bCs/>
          <w:color w:val="auto"/>
          <w:sz w:val="22"/>
          <w:szCs w:val="22"/>
        </w:rPr>
      </w:pPr>
    </w:p>
    <w:p w14:paraId="3FA47127" w14:textId="22A0202F" w:rsidR="000C42FE" w:rsidRPr="00C83FFE" w:rsidRDefault="000C42FE" w:rsidP="000C42FE">
      <w:pPr>
        <w:pStyle w:val="Indenttwo"/>
        <w:widowControl/>
        <w:spacing w:after="0"/>
        <w:ind w:left="0"/>
        <w:rPr>
          <w:rStyle w:val="NationalText"/>
          <w:rFonts w:ascii="Times New Roman" w:hAnsi="Times New Roman" w:cs="Times New Roman"/>
          <w:b/>
          <w:bCs/>
          <w:color w:val="auto"/>
          <w:sz w:val="22"/>
          <w:szCs w:val="22"/>
        </w:rPr>
      </w:pPr>
      <w:r w:rsidRPr="00C83FFE">
        <w:rPr>
          <w:rStyle w:val="NationalText"/>
          <w:rFonts w:ascii="Times New Roman" w:hAnsi="Times New Roman" w:cs="Times New Roman"/>
          <w:b/>
          <w:bCs/>
          <w:color w:val="auto"/>
          <w:sz w:val="22"/>
          <w:szCs w:val="22"/>
        </w:rPr>
        <w:t>How the matter was addressed in our audit:</w:t>
      </w:r>
    </w:p>
    <w:p w14:paraId="2295C9E0" w14:textId="77777777" w:rsidR="000C42FE" w:rsidRPr="00C83FFE" w:rsidRDefault="000C42FE" w:rsidP="000C42FE">
      <w:pPr>
        <w:pStyle w:val="Indenttwo"/>
        <w:widowControl/>
        <w:spacing w:after="0"/>
        <w:ind w:left="0"/>
        <w:rPr>
          <w:rStyle w:val="NationalText"/>
          <w:rFonts w:ascii="Times New Roman" w:hAnsi="Times New Roman" w:cs="Times New Roman"/>
          <w:b/>
          <w:bCs/>
          <w:color w:val="auto"/>
          <w:sz w:val="22"/>
          <w:szCs w:val="22"/>
        </w:rPr>
      </w:pPr>
    </w:p>
    <w:p w14:paraId="676E4EA5" w14:textId="77777777" w:rsidR="000C42FE" w:rsidRPr="00C83FFE" w:rsidRDefault="000C42FE" w:rsidP="000C42FE">
      <w:pPr>
        <w:pStyle w:val="Indenttwo"/>
        <w:widowControl/>
        <w:spacing w:after="0"/>
        <w:ind w:left="0"/>
        <w:rPr>
          <w:rStyle w:val="NationalText"/>
          <w:rFonts w:ascii="Times New Roman" w:hAnsi="Times New Roman" w:cs="Times New Roman"/>
          <w:color w:val="auto"/>
          <w:sz w:val="22"/>
          <w:szCs w:val="22"/>
        </w:rPr>
      </w:pPr>
      <w:r w:rsidRPr="00C83FFE">
        <w:rPr>
          <w:rStyle w:val="NationalText"/>
          <w:rFonts w:ascii="Times New Roman" w:hAnsi="Times New Roman" w:cs="Times New Roman"/>
          <w:color w:val="auto"/>
          <w:sz w:val="22"/>
          <w:szCs w:val="22"/>
        </w:rPr>
        <w:t>The primary procedures we performed to address this critical audit matter included:</w:t>
      </w:r>
    </w:p>
    <w:p w14:paraId="0DCBF998" w14:textId="77777777" w:rsidR="000C42FE" w:rsidRPr="00C83FFE" w:rsidRDefault="000C42FE" w:rsidP="000C42FE">
      <w:pPr>
        <w:pStyle w:val="Indenttwo"/>
        <w:widowControl/>
        <w:spacing w:after="0"/>
        <w:ind w:left="0"/>
        <w:rPr>
          <w:rStyle w:val="NationalText"/>
          <w:rFonts w:ascii="Times New Roman" w:hAnsi="Times New Roman" w:cs="Times New Roman"/>
          <w:color w:val="auto"/>
          <w:sz w:val="22"/>
          <w:szCs w:val="22"/>
        </w:rPr>
      </w:pPr>
    </w:p>
    <w:p w14:paraId="6532F40A" w14:textId="77777777" w:rsidR="000C42FE" w:rsidRPr="00C83FFE" w:rsidRDefault="000C42FE" w:rsidP="000C42FE">
      <w:pPr>
        <w:pStyle w:val="Indenttwo"/>
        <w:widowControl/>
        <w:numPr>
          <w:ilvl w:val="0"/>
          <w:numId w:val="31"/>
        </w:numPr>
        <w:snapToGrid/>
        <w:spacing w:after="0"/>
        <w:ind w:left="714" w:hanging="357"/>
        <w:rPr>
          <w:rStyle w:val="NationalText"/>
          <w:rFonts w:ascii="Times New Roman" w:hAnsi="Times New Roman" w:cs="Times New Roman"/>
          <w:color w:val="auto"/>
          <w:sz w:val="22"/>
          <w:szCs w:val="22"/>
        </w:rPr>
      </w:pPr>
      <w:r w:rsidRPr="00C83FFE">
        <w:rPr>
          <w:rStyle w:val="NationalText"/>
          <w:rFonts w:ascii="Times New Roman" w:hAnsi="Times New Roman" w:cs="Times New Roman"/>
          <w:color w:val="auto"/>
          <w:sz w:val="22"/>
          <w:szCs w:val="22"/>
        </w:rPr>
        <w:t>Obtaining an understanding of management’s process of estimating the provision for income taxes including assessment of uncertain tax positions and those related to interpretation of tax laws and its application in the estimation of tax liabilities including uncertain tax positions.</w:t>
      </w:r>
    </w:p>
    <w:p w14:paraId="6EC909D5" w14:textId="77777777" w:rsidR="000C42FE" w:rsidRPr="00C83FFE" w:rsidRDefault="000C42FE" w:rsidP="000C42FE">
      <w:pPr>
        <w:pStyle w:val="Indenttwo"/>
        <w:widowControl/>
        <w:spacing w:after="0"/>
        <w:ind w:left="714"/>
        <w:rPr>
          <w:rStyle w:val="NationalText"/>
          <w:rFonts w:ascii="Times New Roman" w:hAnsi="Times New Roman" w:cs="Times New Roman"/>
          <w:color w:val="auto"/>
          <w:sz w:val="22"/>
          <w:szCs w:val="22"/>
        </w:rPr>
      </w:pPr>
    </w:p>
    <w:p w14:paraId="318B274B" w14:textId="77777777" w:rsidR="000C42FE" w:rsidRPr="00C83FFE" w:rsidRDefault="000C42FE" w:rsidP="000C42FE">
      <w:pPr>
        <w:pStyle w:val="Indenttwo"/>
        <w:widowControl/>
        <w:numPr>
          <w:ilvl w:val="0"/>
          <w:numId w:val="31"/>
        </w:numPr>
        <w:snapToGrid/>
        <w:spacing w:after="0"/>
        <w:ind w:left="714" w:hanging="357"/>
        <w:rPr>
          <w:rStyle w:val="NationalText"/>
          <w:rFonts w:ascii="Times New Roman" w:hAnsi="Times New Roman" w:cs="Times New Roman"/>
          <w:color w:val="auto"/>
          <w:sz w:val="22"/>
          <w:szCs w:val="22"/>
        </w:rPr>
      </w:pPr>
      <w:r w:rsidRPr="00C83FFE">
        <w:rPr>
          <w:rStyle w:val="NationalText"/>
          <w:rFonts w:ascii="Times New Roman" w:hAnsi="Times New Roman" w:cs="Times New Roman"/>
          <w:color w:val="auto"/>
          <w:sz w:val="22"/>
          <w:szCs w:val="22"/>
        </w:rPr>
        <w:t>Testing the completeness of ongoing tax litigation by obtaining direct confirmations from external tax consultants for select geographies. Also tested the arithmetical accuracy of various computation.</w:t>
      </w:r>
    </w:p>
    <w:p w14:paraId="426F25EA" w14:textId="77777777" w:rsidR="000C42FE" w:rsidRPr="00C83FFE" w:rsidRDefault="000C42FE" w:rsidP="000C42FE">
      <w:pPr>
        <w:pStyle w:val="Indenttwo"/>
        <w:widowControl/>
        <w:spacing w:after="0"/>
        <w:ind w:left="720"/>
        <w:rPr>
          <w:rStyle w:val="NationalText"/>
          <w:rFonts w:ascii="Times New Roman" w:hAnsi="Times New Roman" w:cs="Times New Roman"/>
          <w:color w:val="auto"/>
          <w:sz w:val="22"/>
          <w:szCs w:val="22"/>
        </w:rPr>
      </w:pPr>
    </w:p>
    <w:p w14:paraId="3D0E484B" w14:textId="77777777" w:rsidR="000C42FE" w:rsidRPr="00C83FFE" w:rsidRDefault="000C42FE" w:rsidP="000C42FE">
      <w:pPr>
        <w:pStyle w:val="Indenttwo"/>
        <w:widowControl/>
        <w:numPr>
          <w:ilvl w:val="0"/>
          <w:numId w:val="31"/>
        </w:numPr>
        <w:snapToGrid/>
        <w:spacing w:after="0"/>
        <w:rPr>
          <w:rStyle w:val="NationalText"/>
          <w:rFonts w:ascii="Times New Roman" w:hAnsi="Times New Roman" w:cs="Times New Roman"/>
          <w:color w:val="auto"/>
          <w:sz w:val="22"/>
          <w:szCs w:val="22"/>
        </w:rPr>
      </w:pPr>
      <w:r w:rsidRPr="00C83FFE">
        <w:rPr>
          <w:rStyle w:val="NationalText"/>
          <w:rFonts w:ascii="Times New Roman" w:hAnsi="Times New Roman" w:cs="Times New Roman"/>
          <w:color w:val="auto"/>
          <w:sz w:val="22"/>
          <w:szCs w:val="22"/>
        </w:rPr>
        <w:t>Involving tax professionals with specialized skill and knowledge in domestic and international taxes, who assisted in:</w:t>
      </w:r>
    </w:p>
    <w:p w14:paraId="67F82741" w14:textId="77777777" w:rsidR="000C42FE" w:rsidRPr="00C83FFE" w:rsidRDefault="000C42FE" w:rsidP="000C42FE">
      <w:pPr>
        <w:pStyle w:val="Indenttwo"/>
        <w:widowControl/>
        <w:spacing w:after="0"/>
        <w:ind w:left="0"/>
        <w:rPr>
          <w:rStyle w:val="NationalText"/>
          <w:rFonts w:ascii="Times New Roman" w:hAnsi="Times New Roman" w:cs="Times New Roman"/>
          <w:color w:val="auto"/>
          <w:sz w:val="22"/>
          <w:szCs w:val="22"/>
        </w:rPr>
      </w:pPr>
    </w:p>
    <w:p w14:paraId="3606E9CA" w14:textId="77777777" w:rsidR="000C42FE" w:rsidRPr="00C83FFE" w:rsidRDefault="000C42FE" w:rsidP="000C42FE">
      <w:pPr>
        <w:pStyle w:val="Indenttwo"/>
        <w:widowControl/>
        <w:numPr>
          <w:ilvl w:val="1"/>
          <w:numId w:val="31"/>
        </w:numPr>
        <w:snapToGrid/>
        <w:spacing w:after="0"/>
        <w:ind w:left="1134" w:hanging="425"/>
        <w:rPr>
          <w:rStyle w:val="NationalText"/>
          <w:rFonts w:ascii="Times New Roman" w:hAnsi="Times New Roman" w:cs="Times New Roman"/>
          <w:color w:val="auto"/>
          <w:sz w:val="22"/>
          <w:szCs w:val="22"/>
        </w:rPr>
      </w:pPr>
      <w:r w:rsidRPr="00C83FFE">
        <w:rPr>
          <w:rStyle w:val="NationalText"/>
          <w:rFonts w:ascii="Times New Roman" w:hAnsi="Times New Roman" w:cs="Times New Roman"/>
          <w:color w:val="auto"/>
          <w:sz w:val="22"/>
          <w:szCs w:val="22"/>
        </w:rPr>
        <w:t>inspecting the correspondences and assessment orders with applicable tax authorities</w:t>
      </w:r>
    </w:p>
    <w:p w14:paraId="4243C9EB" w14:textId="77777777" w:rsidR="000C42FE" w:rsidRPr="00C83FFE" w:rsidRDefault="000C42FE" w:rsidP="000C42FE">
      <w:pPr>
        <w:pStyle w:val="Indenttwo"/>
        <w:widowControl/>
        <w:numPr>
          <w:ilvl w:val="1"/>
          <w:numId w:val="31"/>
        </w:numPr>
        <w:snapToGrid/>
        <w:spacing w:after="0"/>
        <w:ind w:left="1134" w:hanging="425"/>
        <w:rPr>
          <w:rStyle w:val="NationalText"/>
          <w:rFonts w:ascii="Times New Roman" w:hAnsi="Times New Roman" w:cs="Times New Roman"/>
          <w:color w:val="auto"/>
          <w:sz w:val="22"/>
          <w:szCs w:val="22"/>
        </w:rPr>
      </w:pPr>
      <w:r w:rsidRPr="00C83FFE">
        <w:rPr>
          <w:rStyle w:val="NationalText"/>
          <w:rFonts w:ascii="Times New Roman" w:hAnsi="Times New Roman" w:cs="Times New Roman"/>
          <w:color w:val="auto"/>
          <w:sz w:val="22"/>
          <w:szCs w:val="22"/>
        </w:rPr>
        <w:t xml:space="preserve">evaluating the Company’s interpretation of tax laws, underlying facts and their potential impact on uncertain tax positions </w:t>
      </w:r>
    </w:p>
    <w:p w14:paraId="3DA6068D" w14:textId="77777777" w:rsidR="000C42FE" w:rsidRPr="00C83FFE" w:rsidRDefault="000C42FE" w:rsidP="000C42FE">
      <w:pPr>
        <w:pStyle w:val="Indenttwo"/>
        <w:widowControl/>
        <w:numPr>
          <w:ilvl w:val="1"/>
          <w:numId w:val="31"/>
        </w:numPr>
        <w:snapToGrid/>
        <w:spacing w:after="0"/>
        <w:ind w:left="1134" w:hanging="425"/>
        <w:rPr>
          <w:rStyle w:val="NationalText"/>
          <w:rFonts w:ascii="Times New Roman" w:hAnsi="Times New Roman" w:cs="Times New Roman"/>
          <w:color w:val="auto"/>
          <w:sz w:val="22"/>
          <w:szCs w:val="22"/>
        </w:rPr>
      </w:pPr>
      <w:r w:rsidRPr="00C83FFE">
        <w:rPr>
          <w:rStyle w:val="NationalText"/>
          <w:rFonts w:ascii="Times New Roman" w:hAnsi="Times New Roman" w:cs="Times New Roman"/>
          <w:color w:val="auto"/>
          <w:sz w:val="22"/>
          <w:szCs w:val="22"/>
        </w:rPr>
        <w:t>evaluating the Company’s assumptions and data used to determine the amount of tax benefit to recognize and tested the accuracy of the calculations.</w:t>
      </w:r>
    </w:p>
    <w:p w14:paraId="25562252" w14:textId="77777777" w:rsidR="000C42FE" w:rsidRPr="007D07C9" w:rsidRDefault="000C42FE" w:rsidP="000C42FE">
      <w:pPr>
        <w:pStyle w:val="Indenttwo"/>
        <w:widowControl/>
        <w:spacing w:after="0"/>
        <w:ind w:left="0"/>
        <w:rPr>
          <w:rStyle w:val="NationalText"/>
          <w:rFonts w:ascii="Times New Roman" w:hAnsi="Times New Roman" w:cs="Times New Roman"/>
          <w:color w:val="000000"/>
          <w:sz w:val="22"/>
          <w:szCs w:val="22"/>
        </w:rPr>
      </w:pPr>
    </w:p>
    <w:p w14:paraId="746F681F" w14:textId="77777777" w:rsidR="000C42FE" w:rsidRPr="007D07C9" w:rsidRDefault="000C42FE" w:rsidP="000C42FE">
      <w:pPr>
        <w:pStyle w:val="Indenttwo"/>
        <w:widowControl/>
        <w:spacing w:after="0"/>
        <w:ind w:left="0"/>
        <w:rPr>
          <w:rStyle w:val="NationalText"/>
          <w:rFonts w:ascii="Times New Roman" w:hAnsi="Times New Roman" w:cs="Times New Roman"/>
          <w:color w:val="000000"/>
          <w:sz w:val="22"/>
          <w:szCs w:val="22"/>
        </w:rPr>
      </w:pPr>
    </w:p>
    <w:p w14:paraId="70FA6046" w14:textId="77777777" w:rsidR="000C42FE" w:rsidRPr="007D07C9" w:rsidRDefault="000C42FE" w:rsidP="000C42FE">
      <w:pPr>
        <w:pStyle w:val="Indenttwo"/>
        <w:widowControl/>
        <w:spacing w:after="0"/>
        <w:ind w:left="0"/>
        <w:rPr>
          <w:rStyle w:val="NationalText"/>
          <w:rFonts w:ascii="Times New Roman" w:hAnsi="Times New Roman" w:cs="Times New Roman"/>
          <w:color w:val="000000"/>
          <w:sz w:val="22"/>
          <w:szCs w:val="22"/>
        </w:rPr>
      </w:pPr>
      <w:r w:rsidRPr="007D07C9">
        <w:rPr>
          <w:rStyle w:val="NationalText"/>
          <w:rFonts w:ascii="Times New Roman" w:hAnsi="Times New Roman" w:cs="Times New Roman"/>
          <w:color w:val="000000"/>
          <w:sz w:val="22"/>
          <w:szCs w:val="22"/>
        </w:rPr>
        <w:t>/S/ BDO India LLP</w:t>
      </w:r>
    </w:p>
    <w:p w14:paraId="504C56BD" w14:textId="77777777" w:rsidR="000C42FE" w:rsidRPr="007D07C9" w:rsidRDefault="000C42FE" w:rsidP="000C42FE">
      <w:pPr>
        <w:pStyle w:val="Indenttwo"/>
        <w:widowControl/>
        <w:spacing w:before="240" w:after="0"/>
        <w:ind w:left="0"/>
        <w:rPr>
          <w:rFonts w:ascii="Times New Roman" w:hAnsi="Times New Roman"/>
          <w:color w:val="000000"/>
          <w:sz w:val="22"/>
          <w:szCs w:val="22"/>
        </w:rPr>
      </w:pPr>
      <w:r w:rsidRPr="007D07C9">
        <w:rPr>
          <w:rFonts w:ascii="Times New Roman" w:hAnsi="Times New Roman"/>
          <w:color w:val="000000"/>
          <w:sz w:val="22"/>
          <w:szCs w:val="22"/>
        </w:rPr>
        <w:t>We have served as the Company's auditor since 2020.</w:t>
      </w:r>
    </w:p>
    <w:p w14:paraId="1BA86D80" w14:textId="77777777" w:rsidR="000C42FE" w:rsidRPr="007D07C9" w:rsidRDefault="000C42FE" w:rsidP="000C42FE">
      <w:pPr>
        <w:pStyle w:val="Indenttwo"/>
        <w:widowControl/>
        <w:spacing w:before="240" w:after="0"/>
        <w:ind w:left="0"/>
        <w:rPr>
          <w:rStyle w:val="NationalText"/>
          <w:rFonts w:ascii="Times New Roman" w:hAnsi="Times New Roman" w:cs="Times New Roman"/>
          <w:color w:val="000000"/>
          <w:sz w:val="22"/>
          <w:szCs w:val="22"/>
        </w:rPr>
      </w:pPr>
      <w:r w:rsidRPr="007D07C9">
        <w:rPr>
          <w:rStyle w:val="NationalText"/>
          <w:rFonts w:ascii="Times New Roman" w:hAnsi="Times New Roman" w:cs="Times New Roman"/>
          <w:color w:val="000000"/>
          <w:sz w:val="22"/>
          <w:szCs w:val="22"/>
        </w:rPr>
        <w:t>Mumbai, India</w:t>
      </w:r>
    </w:p>
    <w:p w14:paraId="277D7D00" w14:textId="71CADAA4" w:rsidR="000C42FE" w:rsidRDefault="000C42FE" w:rsidP="000C42FE">
      <w:pPr>
        <w:pStyle w:val="Indentthree"/>
        <w:widowControl/>
        <w:spacing w:before="240" w:after="0"/>
        <w:ind w:left="0"/>
        <w:jc w:val="both"/>
        <w:rPr>
          <w:rStyle w:val="NationalText"/>
          <w:rFonts w:ascii="Times New Roman" w:hAnsi="Times New Roman" w:cs="Times New Roman"/>
          <w:color w:val="000000"/>
          <w:sz w:val="22"/>
          <w:szCs w:val="22"/>
        </w:rPr>
      </w:pPr>
      <w:r w:rsidRPr="007D07C9">
        <w:rPr>
          <w:rStyle w:val="NationalText"/>
          <w:rFonts w:ascii="Times New Roman" w:hAnsi="Times New Roman" w:cs="Times New Roman"/>
          <w:color w:val="000000"/>
          <w:sz w:val="22"/>
          <w:szCs w:val="22"/>
        </w:rPr>
        <w:t>February 23, 2023</w:t>
      </w:r>
    </w:p>
    <w:p w14:paraId="0E32B6E0" w14:textId="4A9E5510" w:rsidR="000C42FE" w:rsidRDefault="000C42FE" w:rsidP="000C42FE">
      <w:pPr>
        <w:pStyle w:val="Indentthree"/>
        <w:widowControl/>
        <w:spacing w:before="240" w:after="0"/>
        <w:ind w:left="0"/>
        <w:jc w:val="both"/>
        <w:rPr>
          <w:rStyle w:val="NationalText"/>
          <w:rFonts w:ascii="Times New Roman" w:hAnsi="Times New Roman" w:cs="Times New Roman"/>
          <w:color w:val="000000"/>
          <w:sz w:val="22"/>
          <w:szCs w:val="22"/>
        </w:rPr>
      </w:pPr>
    </w:p>
    <w:p w14:paraId="37322EAA" w14:textId="1B350029" w:rsidR="000C42FE" w:rsidRDefault="000C42FE" w:rsidP="000C42FE">
      <w:pPr>
        <w:pStyle w:val="Indentthree"/>
        <w:widowControl/>
        <w:spacing w:before="240" w:after="0"/>
        <w:ind w:left="0"/>
        <w:jc w:val="both"/>
        <w:rPr>
          <w:rStyle w:val="NationalText"/>
          <w:rFonts w:ascii="Times New Roman" w:hAnsi="Times New Roman" w:cs="Times New Roman"/>
          <w:color w:val="000000"/>
          <w:sz w:val="22"/>
          <w:szCs w:val="22"/>
        </w:rPr>
      </w:pPr>
    </w:p>
    <w:p w14:paraId="5B53D48C" w14:textId="3A0DECC8" w:rsidR="000C42FE" w:rsidRDefault="000C42FE" w:rsidP="000C42FE">
      <w:pPr>
        <w:pStyle w:val="Indentthree"/>
        <w:widowControl/>
        <w:spacing w:before="240" w:after="0"/>
        <w:ind w:left="0"/>
        <w:jc w:val="both"/>
        <w:rPr>
          <w:rStyle w:val="NationalText"/>
          <w:rFonts w:ascii="Times New Roman" w:hAnsi="Times New Roman" w:cs="Times New Roman"/>
          <w:color w:val="000000"/>
          <w:sz w:val="22"/>
          <w:szCs w:val="22"/>
        </w:rPr>
      </w:pPr>
    </w:p>
    <w:p w14:paraId="407DA10C" w14:textId="77777777" w:rsidR="000A6B35" w:rsidRDefault="000A6B35" w:rsidP="000C42FE">
      <w:pPr>
        <w:pStyle w:val="Indentthree"/>
        <w:widowControl/>
        <w:spacing w:before="240" w:after="0"/>
        <w:ind w:left="0"/>
        <w:jc w:val="both"/>
        <w:rPr>
          <w:rStyle w:val="NationalText"/>
          <w:rFonts w:ascii="Times New Roman" w:hAnsi="Times New Roman" w:cs="Times New Roman"/>
          <w:color w:val="000000"/>
          <w:sz w:val="22"/>
          <w:szCs w:val="22"/>
        </w:rPr>
      </w:pPr>
    </w:p>
    <w:p w14:paraId="43417A0A" w14:textId="2750F398" w:rsidR="000C42FE" w:rsidRDefault="000C42FE" w:rsidP="000C42FE">
      <w:pPr>
        <w:pStyle w:val="Indentthree"/>
        <w:widowControl/>
        <w:spacing w:before="240" w:after="0"/>
        <w:ind w:left="0"/>
        <w:jc w:val="both"/>
        <w:rPr>
          <w:rStyle w:val="NationalText"/>
          <w:rFonts w:ascii="Times New Roman" w:hAnsi="Times New Roman" w:cs="Times New Roman"/>
          <w:color w:val="000000"/>
          <w:sz w:val="22"/>
          <w:szCs w:val="22"/>
        </w:rPr>
      </w:pPr>
    </w:p>
    <w:p w14:paraId="679DD82C" w14:textId="77777777" w:rsidR="009308E3" w:rsidRDefault="009308E3" w:rsidP="000C42FE">
      <w:pPr>
        <w:pStyle w:val="Indentthree"/>
        <w:widowControl/>
        <w:spacing w:before="240" w:after="0"/>
        <w:ind w:left="0"/>
        <w:jc w:val="both"/>
        <w:rPr>
          <w:rStyle w:val="NationalText"/>
          <w:rFonts w:ascii="Times New Roman" w:hAnsi="Times New Roman" w:cs="Times New Roman"/>
          <w:color w:val="000000"/>
          <w:sz w:val="22"/>
          <w:szCs w:val="22"/>
        </w:rPr>
      </w:pPr>
    </w:p>
    <w:p w14:paraId="67E59A81" w14:textId="2AAA31DA" w:rsidR="00A81DCD" w:rsidRPr="000634A4" w:rsidRDefault="00A81DCD" w:rsidP="00A81DCD">
      <w:pPr>
        <w:tabs>
          <w:tab w:val="left" w:pos="0"/>
          <w:tab w:val="left" w:pos="216"/>
          <w:tab w:val="left" w:pos="432"/>
          <w:tab w:val="left" w:pos="648"/>
          <w:tab w:val="left" w:pos="864"/>
          <w:tab w:val="left" w:pos="1080"/>
          <w:tab w:val="left" w:pos="1296"/>
          <w:tab w:val="left" w:pos="1512"/>
          <w:tab w:val="left" w:pos="1728"/>
          <w:tab w:val="left" w:pos="1944"/>
        </w:tabs>
        <w:suppressAutoHyphens/>
        <w:spacing w:line="240" w:lineRule="atLeast"/>
        <w:jc w:val="center"/>
        <w:rPr>
          <w:b/>
          <w:bCs/>
          <w:spacing w:val="-2"/>
          <w:sz w:val="22"/>
          <w:szCs w:val="22"/>
        </w:rPr>
      </w:pPr>
      <w:r w:rsidRPr="000634A4">
        <w:rPr>
          <w:b/>
          <w:bCs/>
          <w:spacing w:val="-2"/>
          <w:sz w:val="22"/>
          <w:szCs w:val="22"/>
        </w:rPr>
        <w:t>INNODATA INC. AND SUBSIDIARIES</w:t>
      </w:r>
    </w:p>
    <w:p w14:paraId="6E654424" w14:textId="77777777" w:rsidR="00A81DCD" w:rsidRPr="000634A4" w:rsidRDefault="00A81DCD" w:rsidP="00A81DCD">
      <w:pPr>
        <w:tabs>
          <w:tab w:val="center" w:pos="5400"/>
        </w:tabs>
        <w:suppressAutoHyphens/>
        <w:spacing w:line="240" w:lineRule="atLeast"/>
        <w:jc w:val="center"/>
        <w:rPr>
          <w:b/>
          <w:bCs/>
          <w:spacing w:val="-2"/>
          <w:sz w:val="22"/>
          <w:szCs w:val="22"/>
        </w:rPr>
      </w:pPr>
      <w:r w:rsidRPr="000634A4">
        <w:rPr>
          <w:b/>
          <w:bCs/>
          <w:spacing w:val="-2"/>
          <w:sz w:val="22"/>
          <w:szCs w:val="22"/>
        </w:rPr>
        <w:t>CONSOLIDATED BALANCE SHEETS</w:t>
      </w:r>
    </w:p>
    <w:p w14:paraId="3DF40DE4" w14:textId="763E24D5" w:rsidR="00A81DCD" w:rsidRPr="000634A4" w:rsidRDefault="00A81DCD" w:rsidP="00A81DCD">
      <w:pPr>
        <w:tabs>
          <w:tab w:val="center" w:pos="5400"/>
        </w:tabs>
        <w:suppressAutoHyphens/>
        <w:spacing w:line="240" w:lineRule="atLeast"/>
        <w:jc w:val="center"/>
        <w:rPr>
          <w:b/>
          <w:bCs/>
          <w:spacing w:val="-2"/>
          <w:sz w:val="22"/>
          <w:szCs w:val="22"/>
        </w:rPr>
      </w:pPr>
      <w:r w:rsidRPr="000634A4">
        <w:rPr>
          <w:b/>
          <w:bCs/>
          <w:spacing w:val="-2"/>
          <w:sz w:val="22"/>
          <w:szCs w:val="22"/>
        </w:rPr>
        <w:t xml:space="preserve">DECEMBER 31, </w:t>
      </w:r>
      <w:r w:rsidR="00572DB6" w:rsidRPr="000634A4">
        <w:rPr>
          <w:b/>
          <w:bCs/>
          <w:spacing w:val="-2"/>
          <w:sz w:val="22"/>
          <w:szCs w:val="22"/>
        </w:rPr>
        <w:t xml:space="preserve">2022 </w:t>
      </w:r>
      <w:r w:rsidRPr="000634A4">
        <w:rPr>
          <w:b/>
          <w:bCs/>
          <w:spacing w:val="-2"/>
          <w:sz w:val="22"/>
          <w:szCs w:val="22"/>
        </w:rPr>
        <w:t xml:space="preserve">AND </w:t>
      </w:r>
      <w:r w:rsidR="00572DB6" w:rsidRPr="000634A4">
        <w:rPr>
          <w:b/>
          <w:bCs/>
          <w:spacing w:val="-2"/>
          <w:sz w:val="22"/>
          <w:szCs w:val="22"/>
        </w:rPr>
        <w:t>2021</w:t>
      </w:r>
    </w:p>
    <w:p w14:paraId="2CDD63F6" w14:textId="77777777" w:rsidR="00606CA4" w:rsidRPr="000634A4" w:rsidRDefault="00A81DCD" w:rsidP="00323E9A">
      <w:pPr>
        <w:tabs>
          <w:tab w:val="center" w:pos="5400"/>
        </w:tabs>
        <w:suppressAutoHyphens/>
        <w:spacing w:line="240" w:lineRule="atLeast"/>
        <w:jc w:val="center"/>
        <w:rPr>
          <w:b/>
          <w:bCs/>
          <w:spacing w:val="-2"/>
          <w:sz w:val="22"/>
          <w:szCs w:val="22"/>
        </w:rPr>
      </w:pPr>
      <w:r w:rsidRPr="000634A4">
        <w:rPr>
          <w:b/>
          <w:bCs/>
          <w:spacing w:val="-2"/>
          <w:sz w:val="22"/>
          <w:szCs w:val="22"/>
        </w:rPr>
        <w:t>(in thousands, except share and per share data)</w:t>
      </w:r>
    </w:p>
    <w:p w14:paraId="6F00C513" w14:textId="701A9695" w:rsidR="000B0B9A" w:rsidRPr="000634A4" w:rsidRDefault="00FF1886" w:rsidP="009B345D">
      <w:pPr>
        <w:tabs>
          <w:tab w:val="center" w:pos="5400"/>
        </w:tabs>
        <w:suppressAutoHyphens/>
        <w:spacing w:line="240" w:lineRule="atLeast"/>
        <w:rPr>
          <w:b/>
          <w:bCs/>
          <w:spacing w:val="-2"/>
          <w:sz w:val="22"/>
          <w:szCs w:val="22"/>
        </w:rPr>
      </w:pPr>
      <w:r w:rsidRPr="000634A4">
        <w:rPr>
          <w:b/>
          <w:bCs/>
          <w:spacing w:val="-2"/>
          <w:sz w:val="22"/>
          <w:szCs w:val="22"/>
        </w:rPr>
        <w:t xml:space="preserve"> </w:t>
      </w:r>
      <w:r w:rsidR="00A92011" w:rsidRPr="000634A4">
        <w:rPr>
          <w:noProof/>
        </w:rPr>
        <w:drawing>
          <wp:inline distT="0" distB="0" distL="0" distR="0" wp14:anchorId="2EF276ED" wp14:editId="2335E609">
            <wp:extent cx="6057900" cy="771492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9122" cy="7716478"/>
                    </a:xfrm>
                    <a:prstGeom prst="rect">
                      <a:avLst/>
                    </a:prstGeom>
                    <a:noFill/>
                    <a:ln>
                      <a:noFill/>
                    </a:ln>
                  </pic:spPr>
                </pic:pic>
              </a:graphicData>
            </a:graphic>
          </wp:inline>
        </w:drawing>
      </w:r>
    </w:p>
    <w:p w14:paraId="0B955AAC" w14:textId="4FCE5338" w:rsidR="00A81DCD" w:rsidRPr="000634A4" w:rsidRDefault="000B0B9A" w:rsidP="00A81DCD">
      <w:pPr>
        <w:tabs>
          <w:tab w:val="center" w:pos="5400"/>
        </w:tabs>
        <w:suppressAutoHyphens/>
        <w:spacing w:line="240" w:lineRule="atLeast"/>
        <w:jc w:val="center"/>
        <w:rPr>
          <w:b/>
          <w:bCs/>
          <w:spacing w:val="-2"/>
          <w:sz w:val="22"/>
          <w:szCs w:val="22"/>
        </w:rPr>
      </w:pPr>
      <w:r w:rsidRPr="000634A4">
        <w:rPr>
          <w:b/>
          <w:bCs/>
          <w:spacing w:val="-2"/>
          <w:sz w:val="22"/>
          <w:szCs w:val="22"/>
        </w:rPr>
        <w:br w:type="page"/>
      </w:r>
      <w:r w:rsidR="00A81DCD" w:rsidRPr="000634A4">
        <w:rPr>
          <w:b/>
          <w:bCs/>
          <w:spacing w:val="-2"/>
          <w:sz w:val="22"/>
          <w:szCs w:val="22"/>
        </w:rPr>
        <w:lastRenderedPageBreak/>
        <w:t>INNODATA INC. AND SUBSIDIARIES</w:t>
      </w:r>
    </w:p>
    <w:p w14:paraId="7BC43A31" w14:textId="37FF825C" w:rsidR="00A81DCD" w:rsidRPr="000634A4" w:rsidRDefault="00A81DCD" w:rsidP="00A81DCD">
      <w:pPr>
        <w:tabs>
          <w:tab w:val="center" w:pos="5400"/>
        </w:tabs>
        <w:suppressAutoHyphens/>
        <w:spacing w:line="240" w:lineRule="atLeast"/>
        <w:jc w:val="center"/>
        <w:rPr>
          <w:b/>
          <w:bCs/>
          <w:spacing w:val="-2"/>
          <w:sz w:val="22"/>
          <w:szCs w:val="22"/>
        </w:rPr>
      </w:pPr>
      <w:r w:rsidRPr="000634A4">
        <w:rPr>
          <w:b/>
          <w:bCs/>
          <w:spacing w:val="-2"/>
          <w:sz w:val="22"/>
          <w:szCs w:val="22"/>
        </w:rPr>
        <w:t>CONSOLIDATED STATEMENTS OF OPERATIONS AND COMPREHENSIVE LOSS</w:t>
      </w:r>
    </w:p>
    <w:p w14:paraId="31F97578" w14:textId="5F40486D" w:rsidR="00A81DCD" w:rsidRPr="000634A4" w:rsidRDefault="00A81DCD" w:rsidP="00A81DCD">
      <w:pPr>
        <w:tabs>
          <w:tab w:val="center" w:pos="5400"/>
        </w:tabs>
        <w:suppressAutoHyphens/>
        <w:spacing w:line="240" w:lineRule="atLeast"/>
        <w:jc w:val="center"/>
        <w:rPr>
          <w:b/>
          <w:bCs/>
          <w:spacing w:val="-2"/>
          <w:sz w:val="22"/>
          <w:szCs w:val="22"/>
        </w:rPr>
      </w:pPr>
      <w:r w:rsidRPr="000634A4">
        <w:rPr>
          <w:b/>
          <w:bCs/>
          <w:spacing w:val="-2"/>
          <w:sz w:val="22"/>
          <w:szCs w:val="22"/>
        </w:rPr>
        <w:t xml:space="preserve">YEARS ENDED DECEMBER 31, </w:t>
      </w:r>
      <w:r w:rsidR="001E2789" w:rsidRPr="000634A4">
        <w:rPr>
          <w:b/>
          <w:bCs/>
          <w:spacing w:val="-2"/>
          <w:sz w:val="22"/>
          <w:szCs w:val="22"/>
        </w:rPr>
        <w:t xml:space="preserve">2022 </w:t>
      </w:r>
      <w:r w:rsidRPr="000634A4">
        <w:rPr>
          <w:b/>
          <w:bCs/>
          <w:spacing w:val="-2"/>
          <w:sz w:val="22"/>
          <w:szCs w:val="22"/>
        </w:rPr>
        <w:t xml:space="preserve">AND </w:t>
      </w:r>
      <w:r w:rsidR="001E2789" w:rsidRPr="000634A4">
        <w:rPr>
          <w:b/>
          <w:bCs/>
          <w:spacing w:val="-2"/>
          <w:sz w:val="22"/>
          <w:szCs w:val="22"/>
        </w:rPr>
        <w:t>2021</w:t>
      </w:r>
    </w:p>
    <w:p w14:paraId="4A1C463F" w14:textId="7F8751FE" w:rsidR="00A81DCD" w:rsidRPr="000634A4" w:rsidRDefault="00A81DCD" w:rsidP="00A81DCD">
      <w:pPr>
        <w:tabs>
          <w:tab w:val="center" w:pos="5400"/>
        </w:tabs>
        <w:suppressAutoHyphens/>
        <w:spacing w:line="240" w:lineRule="atLeast"/>
        <w:jc w:val="center"/>
        <w:rPr>
          <w:b/>
          <w:bCs/>
          <w:spacing w:val="-2"/>
          <w:sz w:val="22"/>
          <w:szCs w:val="22"/>
        </w:rPr>
      </w:pPr>
      <w:r w:rsidRPr="000634A4">
        <w:rPr>
          <w:b/>
          <w:bCs/>
          <w:spacing w:val="-2"/>
          <w:sz w:val="22"/>
          <w:szCs w:val="22"/>
        </w:rPr>
        <w:t xml:space="preserve"> (In thousands, except per share amounts)</w:t>
      </w:r>
    </w:p>
    <w:p w14:paraId="0561801A" w14:textId="77777777" w:rsidR="001972EC" w:rsidRPr="000634A4" w:rsidRDefault="001972EC" w:rsidP="00A81DCD">
      <w:pPr>
        <w:tabs>
          <w:tab w:val="center" w:pos="5400"/>
        </w:tabs>
        <w:suppressAutoHyphens/>
        <w:spacing w:line="240" w:lineRule="atLeast"/>
        <w:jc w:val="center"/>
        <w:rPr>
          <w:b/>
          <w:bCs/>
          <w:spacing w:val="-2"/>
          <w:sz w:val="22"/>
          <w:szCs w:val="22"/>
        </w:rPr>
      </w:pPr>
    </w:p>
    <w:p w14:paraId="155AF7F9" w14:textId="3A93299C" w:rsidR="00A81DCD" w:rsidRPr="000634A4" w:rsidRDefault="00B16C95" w:rsidP="001972EC">
      <w:pPr>
        <w:tabs>
          <w:tab w:val="center" w:pos="5400"/>
        </w:tabs>
        <w:suppressAutoHyphens/>
        <w:spacing w:line="240" w:lineRule="atLeast"/>
        <w:rPr>
          <w:sz w:val="22"/>
          <w:szCs w:val="22"/>
        </w:rPr>
      </w:pPr>
      <w:r w:rsidRPr="000634A4">
        <w:rPr>
          <w:sz w:val="22"/>
          <w:szCs w:val="22"/>
        </w:rPr>
        <w:t xml:space="preserve"> </w:t>
      </w:r>
      <w:r w:rsidR="000C3C8B" w:rsidRPr="000634A4">
        <w:rPr>
          <w:sz w:val="22"/>
          <w:szCs w:val="22"/>
        </w:rPr>
        <w:t xml:space="preserve"> </w:t>
      </w:r>
      <w:r w:rsidR="006C5368" w:rsidRPr="006C5368">
        <w:rPr>
          <w:noProof/>
        </w:rPr>
        <w:drawing>
          <wp:inline distT="0" distB="0" distL="0" distR="0" wp14:anchorId="0E954915" wp14:editId="76F55706">
            <wp:extent cx="5835650" cy="6292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35650" cy="6292850"/>
                    </a:xfrm>
                    <a:prstGeom prst="rect">
                      <a:avLst/>
                    </a:prstGeom>
                    <a:noFill/>
                    <a:ln>
                      <a:noFill/>
                    </a:ln>
                  </pic:spPr>
                </pic:pic>
              </a:graphicData>
            </a:graphic>
          </wp:inline>
        </w:drawing>
      </w:r>
    </w:p>
    <w:p w14:paraId="5DE7D09D" w14:textId="77777777" w:rsidR="00A81DCD" w:rsidRPr="000634A4" w:rsidRDefault="00A81DCD" w:rsidP="00A81DCD">
      <w:pPr>
        <w:tabs>
          <w:tab w:val="center" w:pos="5400"/>
        </w:tabs>
        <w:suppressAutoHyphens/>
        <w:spacing w:line="240" w:lineRule="atLeast"/>
        <w:jc w:val="both"/>
        <w:rPr>
          <w:spacing w:val="-2"/>
          <w:sz w:val="22"/>
          <w:szCs w:val="22"/>
        </w:rPr>
      </w:pPr>
      <w:r w:rsidRPr="000634A4">
        <w:rPr>
          <w:spacing w:val="-2"/>
          <w:sz w:val="22"/>
          <w:szCs w:val="22"/>
        </w:rPr>
        <w:t xml:space="preserve">  </w:t>
      </w:r>
    </w:p>
    <w:p w14:paraId="213B09FA" w14:textId="483E3C02" w:rsidR="00C332F8" w:rsidRPr="000634A4" w:rsidRDefault="00C332F8">
      <w:pPr>
        <w:rPr>
          <w:spacing w:val="-2"/>
          <w:sz w:val="22"/>
          <w:szCs w:val="22"/>
        </w:rPr>
      </w:pPr>
      <w:r w:rsidRPr="000634A4">
        <w:rPr>
          <w:spacing w:val="-2"/>
          <w:sz w:val="22"/>
          <w:szCs w:val="22"/>
        </w:rPr>
        <w:br w:type="page"/>
      </w:r>
    </w:p>
    <w:p w14:paraId="16910586" w14:textId="77777777" w:rsidR="00A81DCD" w:rsidRPr="000634A4" w:rsidRDefault="00A81DCD" w:rsidP="00A81DCD">
      <w:pPr>
        <w:tabs>
          <w:tab w:val="center" w:pos="5400"/>
        </w:tabs>
        <w:suppressAutoHyphens/>
        <w:spacing w:line="240" w:lineRule="atLeast"/>
        <w:jc w:val="both"/>
        <w:rPr>
          <w:spacing w:val="-2"/>
          <w:sz w:val="22"/>
          <w:szCs w:val="22"/>
        </w:rPr>
      </w:pPr>
    </w:p>
    <w:p w14:paraId="4D9E5905" w14:textId="77777777" w:rsidR="00A81DCD" w:rsidRPr="000634A4" w:rsidRDefault="00A81DCD" w:rsidP="00A81DCD">
      <w:pPr>
        <w:tabs>
          <w:tab w:val="center" w:pos="5400"/>
        </w:tabs>
        <w:suppressAutoHyphens/>
        <w:spacing w:line="240" w:lineRule="atLeast"/>
        <w:jc w:val="center"/>
        <w:rPr>
          <w:b/>
          <w:spacing w:val="-2"/>
          <w:sz w:val="22"/>
          <w:szCs w:val="22"/>
        </w:rPr>
      </w:pPr>
      <w:r w:rsidRPr="000634A4">
        <w:rPr>
          <w:b/>
          <w:spacing w:val="-2"/>
          <w:sz w:val="22"/>
          <w:szCs w:val="22"/>
        </w:rPr>
        <w:t>INNODATA INC. AND SUBSIDIARIES</w:t>
      </w:r>
    </w:p>
    <w:p w14:paraId="4EC9F793" w14:textId="77777777" w:rsidR="00A81DCD" w:rsidRPr="000634A4" w:rsidRDefault="00A81DCD" w:rsidP="00A81DCD">
      <w:pPr>
        <w:tabs>
          <w:tab w:val="center" w:pos="5400"/>
        </w:tabs>
        <w:suppressAutoHyphens/>
        <w:spacing w:line="240" w:lineRule="atLeast"/>
        <w:jc w:val="center"/>
        <w:rPr>
          <w:b/>
          <w:spacing w:val="-2"/>
          <w:sz w:val="22"/>
          <w:szCs w:val="22"/>
        </w:rPr>
      </w:pPr>
      <w:r w:rsidRPr="000634A4">
        <w:rPr>
          <w:b/>
          <w:spacing w:val="-2"/>
          <w:sz w:val="22"/>
          <w:szCs w:val="22"/>
        </w:rPr>
        <w:t>CONSOLIDATED STATEMENTS OF STOCKHOLDERS’ EQUITY</w:t>
      </w:r>
    </w:p>
    <w:p w14:paraId="352B9C51" w14:textId="1325EEF8" w:rsidR="00A81DCD" w:rsidRPr="000634A4" w:rsidRDefault="00A81DCD" w:rsidP="00A81DCD">
      <w:pPr>
        <w:tabs>
          <w:tab w:val="center" w:pos="5400"/>
        </w:tabs>
        <w:suppressAutoHyphens/>
        <w:spacing w:line="240" w:lineRule="atLeast"/>
        <w:jc w:val="center"/>
        <w:rPr>
          <w:b/>
          <w:spacing w:val="-2"/>
          <w:sz w:val="22"/>
          <w:szCs w:val="22"/>
        </w:rPr>
      </w:pPr>
      <w:r w:rsidRPr="000634A4">
        <w:rPr>
          <w:b/>
          <w:spacing w:val="-2"/>
          <w:sz w:val="22"/>
          <w:szCs w:val="22"/>
        </w:rPr>
        <w:t xml:space="preserve">YEARS ENDED DECEMBER 31, </w:t>
      </w:r>
      <w:r w:rsidR="00440E2B" w:rsidRPr="000634A4">
        <w:rPr>
          <w:b/>
          <w:spacing w:val="-2"/>
          <w:sz w:val="22"/>
          <w:szCs w:val="22"/>
        </w:rPr>
        <w:t xml:space="preserve">2022 </w:t>
      </w:r>
      <w:r w:rsidRPr="000634A4">
        <w:rPr>
          <w:b/>
          <w:spacing w:val="-2"/>
          <w:sz w:val="22"/>
          <w:szCs w:val="22"/>
        </w:rPr>
        <w:t xml:space="preserve">AND </w:t>
      </w:r>
      <w:r w:rsidR="00440E2B" w:rsidRPr="000634A4">
        <w:rPr>
          <w:b/>
          <w:spacing w:val="-2"/>
          <w:sz w:val="22"/>
          <w:szCs w:val="22"/>
        </w:rPr>
        <w:t>2021</w:t>
      </w:r>
    </w:p>
    <w:p w14:paraId="6518A810" w14:textId="77777777" w:rsidR="00A81DCD" w:rsidRPr="000634A4" w:rsidRDefault="00A81DCD" w:rsidP="00A81DCD">
      <w:pPr>
        <w:tabs>
          <w:tab w:val="center" w:pos="5400"/>
        </w:tabs>
        <w:suppressAutoHyphens/>
        <w:spacing w:line="240" w:lineRule="atLeast"/>
        <w:jc w:val="center"/>
        <w:rPr>
          <w:b/>
          <w:spacing w:val="-2"/>
          <w:sz w:val="22"/>
          <w:szCs w:val="22"/>
        </w:rPr>
      </w:pPr>
      <w:r w:rsidRPr="000634A4">
        <w:rPr>
          <w:b/>
          <w:spacing w:val="-2"/>
          <w:sz w:val="22"/>
          <w:szCs w:val="22"/>
        </w:rPr>
        <w:t>(In thousands)</w:t>
      </w:r>
    </w:p>
    <w:p w14:paraId="7DF46971" w14:textId="77777777" w:rsidR="00A81DCD" w:rsidRPr="000634A4" w:rsidRDefault="00A81DCD" w:rsidP="00A81DCD">
      <w:pPr>
        <w:tabs>
          <w:tab w:val="center" w:pos="5400"/>
        </w:tabs>
        <w:suppressAutoHyphens/>
        <w:spacing w:line="240" w:lineRule="atLeast"/>
        <w:jc w:val="both"/>
        <w:rPr>
          <w:spacing w:val="-2"/>
          <w:sz w:val="22"/>
          <w:szCs w:val="22"/>
        </w:rPr>
      </w:pPr>
    </w:p>
    <w:p w14:paraId="247E0904" w14:textId="6E1A4014" w:rsidR="00A81DCD" w:rsidRPr="000634A4" w:rsidRDefault="00A81DCD" w:rsidP="00A81DCD">
      <w:pPr>
        <w:tabs>
          <w:tab w:val="center" w:pos="5400"/>
        </w:tabs>
        <w:suppressAutoHyphens/>
        <w:spacing w:line="240" w:lineRule="atLeast"/>
        <w:jc w:val="both"/>
        <w:rPr>
          <w:b/>
          <w:spacing w:val="-2"/>
          <w:sz w:val="22"/>
          <w:szCs w:val="22"/>
        </w:rPr>
      </w:pPr>
      <w:r w:rsidRPr="000634A4">
        <w:rPr>
          <w:spacing w:val="-2"/>
          <w:sz w:val="22"/>
          <w:szCs w:val="22"/>
        </w:rPr>
        <w:t xml:space="preserve">   </w:t>
      </w:r>
      <w:r w:rsidRPr="000634A4">
        <w:rPr>
          <w:sz w:val="22"/>
          <w:szCs w:val="22"/>
        </w:rPr>
        <w:t xml:space="preserve"> </w:t>
      </w:r>
      <w:r w:rsidR="000D05E4" w:rsidRPr="000634A4">
        <w:rPr>
          <w:sz w:val="22"/>
          <w:szCs w:val="22"/>
        </w:rPr>
        <w:t xml:space="preserve"> </w:t>
      </w:r>
      <w:r w:rsidR="00004365" w:rsidRPr="000634A4">
        <w:rPr>
          <w:noProof/>
          <w:sz w:val="22"/>
          <w:szCs w:val="22"/>
        </w:rPr>
        <w:t xml:space="preserve"> </w:t>
      </w:r>
      <w:r w:rsidR="00FB6B19" w:rsidRPr="000634A4">
        <w:rPr>
          <w:sz w:val="22"/>
          <w:szCs w:val="22"/>
        </w:rPr>
        <w:t xml:space="preserve"> </w:t>
      </w:r>
      <w:r w:rsidR="00390596" w:rsidRPr="000634A4">
        <w:rPr>
          <w:sz w:val="22"/>
          <w:szCs w:val="22"/>
        </w:rPr>
        <w:t xml:space="preserve"> </w:t>
      </w:r>
      <w:r w:rsidR="001853F1" w:rsidRPr="000634A4">
        <w:rPr>
          <w:sz w:val="22"/>
          <w:szCs w:val="22"/>
        </w:rPr>
        <w:t xml:space="preserve"> </w:t>
      </w:r>
      <w:r w:rsidR="00DD038F" w:rsidRPr="000634A4">
        <w:rPr>
          <w:sz w:val="22"/>
          <w:szCs w:val="22"/>
        </w:rPr>
        <w:t xml:space="preserve"> </w:t>
      </w:r>
      <w:r w:rsidR="00F34F65" w:rsidRPr="000634A4">
        <w:rPr>
          <w:sz w:val="22"/>
          <w:szCs w:val="22"/>
        </w:rPr>
        <w:t xml:space="preserve"> </w:t>
      </w:r>
      <w:r w:rsidR="00952B9E" w:rsidRPr="000634A4">
        <w:rPr>
          <w:sz w:val="22"/>
          <w:szCs w:val="22"/>
        </w:rPr>
        <w:t xml:space="preserve"> </w:t>
      </w:r>
      <w:r w:rsidR="000C3C8B" w:rsidRPr="000634A4">
        <w:rPr>
          <w:sz w:val="22"/>
          <w:szCs w:val="22"/>
        </w:rPr>
        <w:t xml:space="preserve"> </w:t>
      </w:r>
      <w:r w:rsidR="00C11E37" w:rsidRPr="00C11E37">
        <w:rPr>
          <w:noProof/>
        </w:rPr>
        <w:drawing>
          <wp:inline distT="0" distB="0" distL="0" distR="0" wp14:anchorId="0369BBB6" wp14:editId="24984997">
            <wp:extent cx="6324600" cy="3227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27379" cy="3228666"/>
                    </a:xfrm>
                    <a:prstGeom prst="rect">
                      <a:avLst/>
                    </a:prstGeom>
                    <a:noFill/>
                    <a:ln>
                      <a:noFill/>
                    </a:ln>
                  </pic:spPr>
                </pic:pic>
              </a:graphicData>
            </a:graphic>
          </wp:inline>
        </w:drawing>
      </w:r>
    </w:p>
    <w:p w14:paraId="122CA6C3" w14:textId="77777777" w:rsidR="00A81DCD" w:rsidRPr="000634A4" w:rsidRDefault="00A81DCD" w:rsidP="00A81DCD">
      <w:pPr>
        <w:tabs>
          <w:tab w:val="center" w:pos="5400"/>
        </w:tabs>
        <w:suppressAutoHyphens/>
        <w:spacing w:line="240" w:lineRule="atLeast"/>
        <w:jc w:val="center"/>
        <w:rPr>
          <w:b/>
          <w:spacing w:val="-2"/>
          <w:sz w:val="22"/>
          <w:szCs w:val="22"/>
        </w:rPr>
      </w:pPr>
    </w:p>
    <w:p w14:paraId="5606452E" w14:textId="77777777" w:rsidR="00A81DCD" w:rsidRPr="000634A4" w:rsidRDefault="00A81DCD" w:rsidP="00A81DCD">
      <w:pPr>
        <w:tabs>
          <w:tab w:val="center" w:pos="5400"/>
        </w:tabs>
        <w:suppressAutoHyphens/>
        <w:spacing w:line="240" w:lineRule="atLeast"/>
        <w:jc w:val="center"/>
        <w:rPr>
          <w:b/>
          <w:spacing w:val="-2"/>
          <w:sz w:val="22"/>
          <w:szCs w:val="22"/>
        </w:rPr>
      </w:pPr>
    </w:p>
    <w:p w14:paraId="4998D458" w14:textId="77777777" w:rsidR="00A81DCD" w:rsidRPr="000634A4" w:rsidRDefault="00A81DCD" w:rsidP="00A81DCD">
      <w:pPr>
        <w:tabs>
          <w:tab w:val="center" w:pos="5400"/>
        </w:tabs>
        <w:suppressAutoHyphens/>
        <w:spacing w:line="240" w:lineRule="atLeast"/>
        <w:jc w:val="center"/>
        <w:rPr>
          <w:b/>
          <w:spacing w:val="-2"/>
          <w:sz w:val="22"/>
          <w:szCs w:val="22"/>
        </w:rPr>
      </w:pPr>
    </w:p>
    <w:p w14:paraId="07171D9F" w14:textId="77777777" w:rsidR="00A81DCD" w:rsidRPr="000634A4" w:rsidRDefault="00A81DCD" w:rsidP="00A81DCD">
      <w:pPr>
        <w:tabs>
          <w:tab w:val="center" w:pos="5400"/>
        </w:tabs>
        <w:suppressAutoHyphens/>
        <w:spacing w:line="240" w:lineRule="atLeast"/>
        <w:jc w:val="center"/>
        <w:rPr>
          <w:b/>
          <w:spacing w:val="-2"/>
          <w:sz w:val="22"/>
          <w:szCs w:val="22"/>
        </w:rPr>
      </w:pPr>
    </w:p>
    <w:p w14:paraId="1CD81496" w14:textId="77777777" w:rsidR="00A81DCD" w:rsidRPr="000634A4" w:rsidRDefault="00A81DCD" w:rsidP="00A81DCD">
      <w:pPr>
        <w:tabs>
          <w:tab w:val="center" w:pos="5400"/>
        </w:tabs>
        <w:suppressAutoHyphens/>
        <w:spacing w:line="240" w:lineRule="atLeast"/>
        <w:jc w:val="center"/>
        <w:rPr>
          <w:b/>
          <w:spacing w:val="-2"/>
          <w:sz w:val="22"/>
          <w:szCs w:val="22"/>
        </w:rPr>
      </w:pPr>
    </w:p>
    <w:p w14:paraId="289A7E55" w14:textId="77777777" w:rsidR="00A81DCD" w:rsidRPr="000634A4" w:rsidRDefault="00A81DCD" w:rsidP="00A81DCD">
      <w:pPr>
        <w:tabs>
          <w:tab w:val="center" w:pos="5400"/>
        </w:tabs>
        <w:suppressAutoHyphens/>
        <w:spacing w:line="240" w:lineRule="atLeast"/>
        <w:jc w:val="center"/>
        <w:rPr>
          <w:b/>
          <w:spacing w:val="-2"/>
          <w:sz w:val="22"/>
          <w:szCs w:val="22"/>
        </w:rPr>
      </w:pPr>
    </w:p>
    <w:p w14:paraId="49ED536D" w14:textId="77777777" w:rsidR="00A81DCD" w:rsidRPr="000634A4" w:rsidRDefault="00A81DCD" w:rsidP="00A81DCD">
      <w:pPr>
        <w:tabs>
          <w:tab w:val="center" w:pos="5400"/>
        </w:tabs>
        <w:suppressAutoHyphens/>
        <w:spacing w:line="240" w:lineRule="atLeast"/>
        <w:jc w:val="center"/>
        <w:rPr>
          <w:b/>
          <w:spacing w:val="-2"/>
          <w:sz w:val="22"/>
          <w:szCs w:val="22"/>
        </w:rPr>
      </w:pPr>
    </w:p>
    <w:p w14:paraId="30A6608E" w14:textId="77777777" w:rsidR="00A81DCD" w:rsidRPr="000634A4" w:rsidRDefault="00A81DCD" w:rsidP="00A81DCD">
      <w:pPr>
        <w:tabs>
          <w:tab w:val="center" w:pos="5400"/>
        </w:tabs>
        <w:suppressAutoHyphens/>
        <w:spacing w:line="240" w:lineRule="atLeast"/>
        <w:jc w:val="center"/>
        <w:rPr>
          <w:b/>
          <w:spacing w:val="-2"/>
          <w:sz w:val="22"/>
          <w:szCs w:val="22"/>
        </w:rPr>
      </w:pPr>
    </w:p>
    <w:p w14:paraId="79D2E6E6" w14:textId="77777777" w:rsidR="00A81DCD" w:rsidRPr="000634A4" w:rsidRDefault="00A81DCD" w:rsidP="00A81DCD">
      <w:pPr>
        <w:tabs>
          <w:tab w:val="center" w:pos="5400"/>
        </w:tabs>
        <w:suppressAutoHyphens/>
        <w:spacing w:line="240" w:lineRule="atLeast"/>
        <w:jc w:val="center"/>
        <w:rPr>
          <w:b/>
          <w:spacing w:val="-2"/>
          <w:sz w:val="22"/>
          <w:szCs w:val="22"/>
        </w:rPr>
      </w:pPr>
    </w:p>
    <w:p w14:paraId="2AF0F20D" w14:textId="77777777" w:rsidR="00A81DCD" w:rsidRPr="000634A4" w:rsidRDefault="00A81DCD" w:rsidP="00A81DCD">
      <w:pPr>
        <w:tabs>
          <w:tab w:val="center" w:pos="5400"/>
        </w:tabs>
        <w:suppressAutoHyphens/>
        <w:spacing w:line="240" w:lineRule="atLeast"/>
        <w:jc w:val="center"/>
        <w:rPr>
          <w:b/>
          <w:spacing w:val="-2"/>
          <w:sz w:val="22"/>
          <w:szCs w:val="22"/>
        </w:rPr>
      </w:pPr>
    </w:p>
    <w:p w14:paraId="7882B728" w14:textId="77777777" w:rsidR="00A81DCD" w:rsidRPr="000634A4" w:rsidRDefault="00A81DCD" w:rsidP="00A81DCD">
      <w:pPr>
        <w:tabs>
          <w:tab w:val="center" w:pos="5400"/>
        </w:tabs>
        <w:suppressAutoHyphens/>
        <w:spacing w:line="240" w:lineRule="atLeast"/>
        <w:jc w:val="center"/>
        <w:rPr>
          <w:b/>
          <w:spacing w:val="-2"/>
          <w:sz w:val="22"/>
          <w:szCs w:val="22"/>
        </w:rPr>
      </w:pPr>
    </w:p>
    <w:p w14:paraId="49B982F3" w14:textId="77777777" w:rsidR="00A81DCD" w:rsidRPr="000634A4" w:rsidRDefault="00A81DCD" w:rsidP="00A81DCD">
      <w:pPr>
        <w:tabs>
          <w:tab w:val="center" w:pos="5400"/>
        </w:tabs>
        <w:suppressAutoHyphens/>
        <w:spacing w:line="240" w:lineRule="atLeast"/>
        <w:jc w:val="center"/>
        <w:rPr>
          <w:b/>
          <w:spacing w:val="-2"/>
          <w:sz w:val="22"/>
          <w:szCs w:val="22"/>
        </w:rPr>
      </w:pPr>
    </w:p>
    <w:p w14:paraId="6CE18336" w14:textId="77777777" w:rsidR="00A81DCD" w:rsidRPr="000634A4" w:rsidRDefault="00A81DCD" w:rsidP="00A81DCD">
      <w:pPr>
        <w:tabs>
          <w:tab w:val="center" w:pos="5400"/>
        </w:tabs>
        <w:suppressAutoHyphens/>
        <w:spacing w:line="240" w:lineRule="atLeast"/>
        <w:jc w:val="center"/>
        <w:rPr>
          <w:b/>
          <w:spacing w:val="-2"/>
          <w:sz w:val="22"/>
          <w:szCs w:val="22"/>
        </w:rPr>
      </w:pPr>
    </w:p>
    <w:p w14:paraId="4612D925" w14:textId="0BE875E3" w:rsidR="00A81DCD" w:rsidRPr="000634A4" w:rsidRDefault="00A81DCD" w:rsidP="00A81DCD">
      <w:pPr>
        <w:tabs>
          <w:tab w:val="center" w:pos="5400"/>
        </w:tabs>
        <w:suppressAutoHyphens/>
        <w:spacing w:line="240" w:lineRule="atLeast"/>
        <w:jc w:val="center"/>
        <w:rPr>
          <w:b/>
          <w:spacing w:val="-2"/>
          <w:sz w:val="22"/>
          <w:szCs w:val="22"/>
        </w:rPr>
      </w:pPr>
    </w:p>
    <w:p w14:paraId="6FFF2B14" w14:textId="77777777" w:rsidR="009B4726" w:rsidRPr="000634A4" w:rsidRDefault="009B4726" w:rsidP="00A81DCD">
      <w:pPr>
        <w:tabs>
          <w:tab w:val="center" w:pos="5400"/>
        </w:tabs>
        <w:suppressAutoHyphens/>
        <w:spacing w:line="240" w:lineRule="atLeast"/>
        <w:jc w:val="center"/>
        <w:rPr>
          <w:b/>
          <w:spacing w:val="-2"/>
          <w:sz w:val="22"/>
          <w:szCs w:val="22"/>
        </w:rPr>
      </w:pPr>
    </w:p>
    <w:p w14:paraId="5C212FB7" w14:textId="40CCE304" w:rsidR="00A81DCD" w:rsidRPr="000634A4" w:rsidRDefault="00A81DCD" w:rsidP="00A81DCD">
      <w:pPr>
        <w:tabs>
          <w:tab w:val="center" w:pos="5400"/>
        </w:tabs>
        <w:suppressAutoHyphens/>
        <w:spacing w:line="240" w:lineRule="atLeast"/>
        <w:jc w:val="center"/>
        <w:rPr>
          <w:b/>
          <w:spacing w:val="-2"/>
          <w:sz w:val="22"/>
          <w:szCs w:val="22"/>
        </w:rPr>
      </w:pPr>
    </w:p>
    <w:p w14:paraId="0F2DF1CA" w14:textId="6456AB5D" w:rsidR="002B5546" w:rsidRPr="000634A4" w:rsidRDefault="002B5546" w:rsidP="00A81DCD">
      <w:pPr>
        <w:tabs>
          <w:tab w:val="center" w:pos="5400"/>
        </w:tabs>
        <w:suppressAutoHyphens/>
        <w:spacing w:line="240" w:lineRule="atLeast"/>
        <w:jc w:val="center"/>
        <w:rPr>
          <w:b/>
          <w:spacing w:val="-2"/>
          <w:sz w:val="22"/>
          <w:szCs w:val="22"/>
        </w:rPr>
      </w:pPr>
    </w:p>
    <w:p w14:paraId="6BF90D69" w14:textId="77777777" w:rsidR="002B5546" w:rsidRPr="000634A4" w:rsidRDefault="002B5546" w:rsidP="00A81DCD">
      <w:pPr>
        <w:tabs>
          <w:tab w:val="center" w:pos="5400"/>
        </w:tabs>
        <w:suppressAutoHyphens/>
        <w:spacing w:line="240" w:lineRule="atLeast"/>
        <w:jc w:val="center"/>
        <w:rPr>
          <w:b/>
          <w:spacing w:val="-2"/>
          <w:sz w:val="22"/>
          <w:szCs w:val="22"/>
        </w:rPr>
      </w:pPr>
    </w:p>
    <w:p w14:paraId="6B105835" w14:textId="651E09CC" w:rsidR="00440E2B" w:rsidRPr="000634A4" w:rsidRDefault="00440E2B">
      <w:pPr>
        <w:rPr>
          <w:b/>
          <w:spacing w:val="-2"/>
          <w:sz w:val="22"/>
          <w:szCs w:val="22"/>
        </w:rPr>
      </w:pPr>
      <w:r w:rsidRPr="000634A4">
        <w:rPr>
          <w:b/>
          <w:spacing w:val="-2"/>
          <w:sz w:val="22"/>
          <w:szCs w:val="22"/>
        </w:rPr>
        <w:br w:type="page"/>
      </w:r>
    </w:p>
    <w:tbl>
      <w:tblPr>
        <w:tblW w:w="8760" w:type="dxa"/>
        <w:tblCellMar>
          <w:left w:w="0" w:type="dxa"/>
          <w:right w:w="0" w:type="dxa"/>
        </w:tblCellMar>
        <w:tblLook w:val="04A0" w:firstRow="1" w:lastRow="0" w:firstColumn="1" w:lastColumn="0" w:noHBand="0" w:noVBand="1"/>
      </w:tblPr>
      <w:tblGrid>
        <w:gridCol w:w="8776"/>
      </w:tblGrid>
      <w:tr w:rsidR="00657D2D" w:rsidRPr="000634A4" w14:paraId="48C580AC" w14:textId="77777777" w:rsidTr="00657D2D">
        <w:trPr>
          <w:trHeight w:val="280"/>
        </w:trPr>
        <w:tc>
          <w:tcPr>
            <w:tcW w:w="8760" w:type="dxa"/>
            <w:tcBorders>
              <w:top w:val="nil"/>
              <w:left w:val="nil"/>
              <w:bottom w:val="nil"/>
              <w:right w:val="nil"/>
            </w:tcBorders>
            <w:shd w:val="clear" w:color="auto" w:fill="auto"/>
            <w:noWrap/>
            <w:vAlign w:val="center"/>
            <w:hideMark/>
          </w:tcPr>
          <w:p w14:paraId="06F6E540" w14:textId="77777777" w:rsidR="00657D2D" w:rsidRPr="000634A4" w:rsidRDefault="00657D2D" w:rsidP="00FF272A">
            <w:pPr>
              <w:jc w:val="center"/>
              <w:rPr>
                <w:b/>
                <w:bCs/>
                <w:color w:val="000000"/>
                <w:sz w:val="22"/>
                <w:szCs w:val="22"/>
              </w:rPr>
            </w:pPr>
            <w:r w:rsidRPr="000634A4">
              <w:rPr>
                <w:b/>
                <w:bCs/>
                <w:color w:val="000000"/>
                <w:sz w:val="22"/>
                <w:szCs w:val="22"/>
              </w:rPr>
              <w:lastRenderedPageBreak/>
              <w:t>INNODATA INC. AND SUBSIDIARIES</w:t>
            </w:r>
          </w:p>
        </w:tc>
      </w:tr>
      <w:tr w:rsidR="00657D2D" w:rsidRPr="000634A4" w14:paraId="252850B3" w14:textId="77777777" w:rsidTr="00657D2D">
        <w:trPr>
          <w:trHeight w:val="280"/>
        </w:trPr>
        <w:tc>
          <w:tcPr>
            <w:tcW w:w="0" w:type="auto"/>
            <w:tcBorders>
              <w:top w:val="nil"/>
              <w:left w:val="nil"/>
              <w:bottom w:val="nil"/>
              <w:right w:val="nil"/>
            </w:tcBorders>
            <w:shd w:val="clear" w:color="auto" w:fill="auto"/>
            <w:noWrap/>
            <w:vAlign w:val="center"/>
            <w:hideMark/>
          </w:tcPr>
          <w:p w14:paraId="5BE617B5" w14:textId="77777777" w:rsidR="00657D2D" w:rsidRPr="000634A4" w:rsidRDefault="00657D2D" w:rsidP="00FF272A">
            <w:pPr>
              <w:jc w:val="center"/>
              <w:rPr>
                <w:b/>
                <w:bCs/>
                <w:color w:val="000000"/>
                <w:sz w:val="22"/>
                <w:szCs w:val="22"/>
              </w:rPr>
            </w:pPr>
            <w:r w:rsidRPr="000634A4">
              <w:rPr>
                <w:b/>
                <w:bCs/>
                <w:color w:val="000000"/>
                <w:sz w:val="22"/>
                <w:szCs w:val="22"/>
              </w:rPr>
              <w:t>CONSOLIDATED STATEMENTS OF CASH FLOWS</w:t>
            </w:r>
          </w:p>
        </w:tc>
      </w:tr>
      <w:tr w:rsidR="00657D2D" w:rsidRPr="000634A4" w14:paraId="780DADE6" w14:textId="77777777" w:rsidTr="00657D2D">
        <w:trPr>
          <w:trHeight w:val="280"/>
        </w:trPr>
        <w:tc>
          <w:tcPr>
            <w:tcW w:w="0" w:type="auto"/>
            <w:tcBorders>
              <w:top w:val="nil"/>
              <w:left w:val="nil"/>
              <w:bottom w:val="nil"/>
              <w:right w:val="nil"/>
            </w:tcBorders>
            <w:shd w:val="clear" w:color="auto" w:fill="auto"/>
            <w:noWrap/>
            <w:vAlign w:val="center"/>
            <w:hideMark/>
          </w:tcPr>
          <w:p w14:paraId="16ACA39E" w14:textId="7F5C9C15" w:rsidR="00657D2D" w:rsidRPr="000634A4" w:rsidRDefault="00657D2D" w:rsidP="00FF272A">
            <w:pPr>
              <w:jc w:val="center"/>
              <w:rPr>
                <w:b/>
                <w:bCs/>
                <w:color w:val="000000"/>
                <w:sz w:val="22"/>
                <w:szCs w:val="22"/>
              </w:rPr>
            </w:pPr>
            <w:r w:rsidRPr="000634A4">
              <w:rPr>
                <w:b/>
                <w:bCs/>
                <w:color w:val="000000"/>
                <w:sz w:val="22"/>
                <w:szCs w:val="22"/>
              </w:rPr>
              <w:t xml:space="preserve">YEARS ENDED DECEMBER 31, </w:t>
            </w:r>
            <w:r w:rsidR="00440E2B" w:rsidRPr="000634A4">
              <w:rPr>
                <w:b/>
                <w:bCs/>
                <w:color w:val="000000"/>
                <w:sz w:val="22"/>
                <w:szCs w:val="22"/>
              </w:rPr>
              <w:t xml:space="preserve">2022 </w:t>
            </w:r>
            <w:r w:rsidRPr="000634A4">
              <w:rPr>
                <w:b/>
                <w:bCs/>
                <w:color w:val="000000"/>
                <w:sz w:val="22"/>
                <w:szCs w:val="22"/>
              </w:rPr>
              <w:t xml:space="preserve">AND </w:t>
            </w:r>
            <w:r w:rsidR="00440E2B" w:rsidRPr="000634A4">
              <w:rPr>
                <w:b/>
                <w:bCs/>
                <w:color w:val="000000"/>
                <w:sz w:val="22"/>
                <w:szCs w:val="22"/>
              </w:rPr>
              <w:t>2021</w:t>
            </w:r>
          </w:p>
        </w:tc>
      </w:tr>
      <w:tr w:rsidR="00657D2D" w:rsidRPr="000634A4" w14:paraId="769EC79A" w14:textId="77777777" w:rsidTr="00657D2D">
        <w:trPr>
          <w:trHeight w:val="280"/>
        </w:trPr>
        <w:tc>
          <w:tcPr>
            <w:tcW w:w="0" w:type="auto"/>
            <w:tcBorders>
              <w:top w:val="nil"/>
              <w:left w:val="nil"/>
              <w:bottom w:val="nil"/>
              <w:right w:val="nil"/>
            </w:tcBorders>
            <w:shd w:val="clear" w:color="auto" w:fill="auto"/>
            <w:noWrap/>
            <w:vAlign w:val="center"/>
            <w:hideMark/>
          </w:tcPr>
          <w:p w14:paraId="6F84FA93" w14:textId="63B96F0B" w:rsidR="00657D2D" w:rsidRPr="000634A4" w:rsidRDefault="00657D2D" w:rsidP="00FF272A">
            <w:pPr>
              <w:jc w:val="center"/>
              <w:rPr>
                <w:b/>
                <w:bCs/>
                <w:color w:val="000000"/>
                <w:sz w:val="22"/>
                <w:szCs w:val="22"/>
              </w:rPr>
            </w:pPr>
            <w:r w:rsidRPr="000634A4">
              <w:rPr>
                <w:b/>
                <w:bCs/>
                <w:color w:val="000000"/>
                <w:sz w:val="22"/>
                <w:szCs w:val="22"/>
              </w:rPr>
              <w:t>(In thousands)</w:t>
            </w:r>
          </w:p>
          <w:p w14:paraId="5BE5D96D" w14:textId="1EDCD86D" w:rsidR="00657D2D" w:rsidRPr="000634A4" w:rsidRDefault="00657D2D">
            <w:pPr>
              <w:jc w:val="center"/>
              <w:rPr>
                <w:b/>
                <w:bCs/>
                <w:color w:val="000000"/>
                <w:sz w:val="22"/>
                <w:szCs w:val="22"/>
              </w:rPr>
            </w:pPr>
          </w:p>
          <w:p w14:paraId="3FD55806" w14:textId="45CCAE15" w:rsidR="00657D2D" w:rsidRPr="000634A4" w:rsidRDefault="00657D2D">
            <w:pPr>
              <w:jc w:val="center"/>
              <w:rPr>
                <w:b/>
                <w:bCs/>
                <w:color w:val="000000"/>
                <w:sz w:val="22"/>
                <w:szCs w:val="22"/>
              </w:rPr>
            </w:pPr>
          </w:p>
        </w:tc>
      </w:tr>
    </w:tbl>
    <w:p w14:paraId="7F988F30" w14:textId="77777777" w:rsidR="00A81DCD" w:rsidRPr="000634A4" w:rsidRDefault="00A81DCD" w:rsidP="00610F79">
      <w:pPr>
        <w:tabs>
          <w:tab w:val="center" w:pos="5400"/>
        </w:tabs>
        <w:suppressAutoHyphens/>
        <w:spacing w:line="240" w:lineRule="atLeast"/>
        <w:jc w:val="center"/>
        <w:rPr>
          <w:b/>
          <w:spacing w:val="-2"/>
          <w:sz w:val="22"/>
          <w:szCs w:val="22"/>
        </w:rPr>
      </w:pPr>
    </w:p>
    <w:p w14:paraId="51CBA06A" w14:textId="53E189EE" w:rsidR="00932DEF" w:rsidRPr="000634A4" w:rsidRDefault="004748A9" w:rsidP="00610F79">
      <w:pPr>
        <w:tabs>
          <w:tab w:val="center" w:pos="5400"/>
        </w:tabs>
        <w:suppressAutoHyphens/>
        <w:spacing w:line="240" w:lineRule="atLeast"/>
        <w:jc w:val="center"/>
        <w:rPr>
          <w:b/>
          <w:spacing w:val="-2"/>
          <w:sz w:val="22"/>
          <w:szCs w:val="22"/>
        </w:rPr>
        <w:sectPr w:rsidR="00932DEF" w:rsidRPr="000634A4" w:rsidSect="002C4686">
          <w:headerReference w:type="default" r:id="rId34"/>
          <w:footerReference w:type="even" r:id="rId35"/>
          <w:footerReference w:type="default" r:id="rId36"/>
          <w:pgSz w:w="12240" w:h="15840" w:code="1"/>
          <w:pgMar w:top="1152" w:right="1350" w:bottom="1152" w:left="1152" w:header="432" w:footer="432" w:gutter="0"/>
          <w:pgNumType w:start="1"/>
          <w:cols w:space="720"/>
          <w:docGrid w:linePitch="360"/>
        </w:sectPr>
      </w:pPr>
      <w:r w:rsidRPr="004748A9">
        <w:rPr>
          <w:noProof/>
        </w:rPr>
        <w:drawing>
          <wp:inline distT="0" distB="0" distL="0" distR="0" wp14:anchorId="2D690F67" wp14:editId="275003FE">
            <wp:extent cx="5562600" cy="751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62600" cy="7518400"/>
                    </a:xfrm>
                    <a:prstGeom prst="rect">
                      <a:avLst/>
                    </a:prstGeom>
                    <a:noFill/>
                    <a:ln>
                      <a:noFill/>
                    </a:ln>
                  </pic:spPr>
                </pic:pic>
              </a:graphicData>
            </a:graphic>
          </wp:inline>
        </w:drawing>
      </w:r>
    </w:p>
    <w:p w14:paraId="4ADC8FA3" w14:textId="77777777" w:rsidR="00260423" w:rsidRPr="000634A4" w:rsidRDefault="00260423" w:rsidP="00260423">
      <w:pPr>
        <w:tabs>
          <w:tab w:val="left" w:pos="-720"/>
        </w:tabs>
        <w:suppressAutoHyphens/>
        <w:spacing w:line="240" w:lineRule="atLeast"/>
        <w:ind w:right="180"/>
        <w:jc w:val="both"/>
        <w:rPr>
          <w:b/>
          <w:bCs/>
          <w:spacing w:val="-2"/>
          <w:sz w:val="22"/>
          <w:szCs w:val="22"/>
        </w:rPr>
      </w:pPr>
      <w:bookmarkStart w:id="44" w:name="_Hlk95837447"/>
      <w:bookmarkStart w:id="45" w:name="_Hlk96006365"/>
      <w:r w:rsidRPr="000634A4">
        <w:rPr>
          <w:b/>
          <w:bCs/>
          <w:spacing w:val="-2"/>
          <w:sz w:val="22"/>
          <w:szCs w:val="22"/>
        </w:rPr>
        <w:lastRenderedPageBreak/>
        <w:t xml:space="preserve">1. Description of Business and Summary of Significant Accounting Estimates and Policies </w:t>
      </w:r>
    </w:p>
    <w:p w14:paraId="0A7F41DA" w14:textId="77777777" w:rsidR="00260423" w:rsidRPr="000634A4" w:rsidRDefault="00260423" w:rsidP="00260423">
      <w:pPr>
        <w:tabs>
          <w:tab w:val="left" w:pos="-720"/>
        </w:tabs>
        <w:suppressAutoHyphens/>
        <w:spacing w:line="240" w:lineRule="atLeast"/>
        <w:ind w:right="180"/>
        <w:jc w:val="both"/>
        <w:rPr>
          <w:b/>
          <w:bCs/>
          <w:spacing w:val="-2"/>
          <w:sz w:val="22"/>
          <w:szCs w:val="22"/>
        </w:rPr>
      </w:pPr>
    </w:p>
    <w:p w14:paraId="4F0DEF4F" w14:textId="77777777" w:rsidR="00260423" w:rsidRPr="000634A4" w:rsidRDefault="00260423" w:rsidP="00260423">
      <w:pPr>
        <w:ind w:firstLine="720"/>
        <w:jc w:val="both"/>
        <w:rPr>
          <w:strike/>
          <w:sz w:val="22"/>
          <w:szCs w:val="22"/>
        </w:rPr>
      </w:pPr>
      <w:r w:rsidRPr="000634A4">
        <w:rPr>
          <w:b/>
          <w:bCs/>
          <w:sz w:val="22"/>
          <w:szCs w:val="22"/>
        </w:rPr>
        <w:t>Description of Business</w:t>
      </w:r>
      <w:r w:rsidRPr="000634A4">
        <w:rPr>
          <w:sz w:val="22"/>
          <w:szCs w:val="22"/>
        </w:rPr>
        <w:t xml:space="preserve"> - Innodata Inc. (NASDAQ: INOD) (including its subsidiaries, the “Company”, “Innodata”, “we”, “us” or “our”) is a leading data engineering company. The Company’s mission is to </w:t>
      </w:r>
      <w:r w:rsidRPr="002A1476">
        <w:rPr>
          <w:color w:val="000000" w:themeColor="text1"/>
          <w:sz w:val="22"/>
          <w:szCs w:val="22"/>
        </w:rPr>
        <w:t xml:space="preserve">help the world’s most prestigious companies deliver the promise of ethical, high-performing artificial intelligence (“AI”), which </w:t>
      </w:r>
      <w:r>
        <w:rPr>
          <w:color w:val="000000" w:themeColor="text1"/>
          <w:sz w:val="22"/>
          <w:szCs w:val="22"/>
        </w:rPr>
        <w:t xml:space="preserve">the Company </w:t>
      </w:r>
      <w:r w:rsidRPr="002A1476">
        <w:rPr>
          <w:color w:val="000000" w:themeColor="text1"/>
          <w:sz w:val="22"/>
          <w:szCs w:val="22"/>
        </w:rPr>
        <w:t>believe</w:t>
      </w:r>
      <w:r>
        <w:rPr>
          <w:color w:val="000000" w:themeColor="text1"/>
          <w:sz w:val="22"/>
          <w:szCs w:val="22"/>
        </w:rPr>
        <w:t>s</w:t>
      </w:r>
      <w:r w:rsidRPr="002A1476">
        <w:rPr>
          <w:color w:val="000000" w:themeColor="text1"/>
          <w:sz w:val="22"/>
          <w:szCs w:val="22"/>
        </w:rPr>
        <w:t xml:space="preserve"> </w:t>
      </w:r>
      <w:r>
        <w:rPr>
          <w:color w:val="000000" w:themeColor="text1"/>
          <w:sz w:val="22"/>
          <w:szCs w:val="22"/>
        </w:rPr>
        <w:t>will contribute to</w:t>
      </w:r>
      <w:r w:rsidRPr="002A1476">
        <w:rPr>
          <w:color w:val="000000" w:themeColor="text1"/>
          <w:sz w:val="22"/>
          <w:szCs w:val="22"/>
        </w:rPr>
        <w:t xml:space="preserve"> a safer and more prosperous world</w:t>
      </w:r>
      <w:r>
        <w:rPr>
          <w:color w:val="000000" w:themeColor="text1"/>
          <w:sz w:val="22"/>
          <w:szCs w:val="22"/>
        </w:rPr>
        <w:t>.</w:t>
      </w:r>
    </w:p>
    <w:p w14:paraId="64A27C7E" w14:textId="77777777" w:rsidR="00260423" w:rsidRPr="002A1476" w:rsidRDefault="00260423" w:rsidP="00260423">
      <w:pPr>
        <w:pStyle w:val="NormalWeb"/>
        <w:ind w:firstLine="720"/>
        <w:jc w:val="both"/>
        <w:rPr>
          <w:color w:val="000000" w:themeColor="text1"/>
          <w:sz w:val="22"/>
          <w:szCs w:val="22"/>
        </w:rPr>
      </w:pPr>
      <w:r>
        <w:rPr>
          <w:color w:val="000000" w:themeColor="text1"/>
          <w:sz w:val="22"/>
          <w:szCs w:val="22"/>
        </w:rPr>
        <w:t>The Company</w:t>
      </w:r>
      <w:r w:rsidRPr="002A1476">
        <w:rPr>
          <w:color w:val="000000" w:themeColor="text1"/>
          <w:sz w:val="22"/>
          <w:szCs w:val="22"/>
        </w:rPr>
        <w:t xml:space="preserve"> was founded on a simple idea: engineer the highest quality data so organizations across broad industry segments could make smarter decisions. Today, </w:t>
      </w:r>
      <w:r>
        <w:rPr>
          <w:color w:val="000000" w:themeColor="text1"/>
          <w:sz w:val="22"/>
          <w:szCs w:val="22"/>
        </w:rPr>
        <w:t>the Company believes it is</w:t>
      </w:r>
      <w:r w:rsidRPr="002A1476">
        <w:rPr>
          <w:color w:val="000000" w:themeColor="text1"/>
          <w:sz w:val="22"/>
          <w:szCs w:val="22"/>
        </w:rPr>
        <w:t xml:space="preserve"> delivering the highest quality data for some of the world’s most innovative technology companies to use to train the AI </w:t>
      </w:r>
      <w:r>
        <w:rPr>
          <w:color w:val="000000" w:themeColor="text1"/>
          <w:sz w:val="22"/>
          <w:szCs w:val="22"/>
        </w:rPr>
        <w:t>models</w:t>
      </w:r>
      <w:r w:rsidRPr="002A1476">
        <w:rPr>
          <w:color w:val="000000" w:themeColor="text1"/>
          <w:sz w:val="22"/>
          <w:szCs w:val="22"/>
        </w:rPr>
        <w:t xml:space="preserve"> of the future.</w:t>
      </w:r>
    </w:p>
    <w:p w14:paraId="488EE2F6" w14:textId="77777777" w:rsidR="00260423" w:rsidRPr="002A1476" w:rsidRDefault="00260423" w:rsidP="00260423">
      <w:pPr>
        <w:pStyle w:val="NormalWeb"/>
        <w:ind w:firstLine="720"/>
        <w:jc w:val="both"/>
        <w:rPr>
          <w:color w:val="000000" w:themeColor="text1"/>
          <w:sz w:val="22"/>
          <w:szCs w:val="22"/>
        </w:rPr>
      </w:pPr>
      <w:r w:rsidRPr="002A1476">
        <w:rPr>
          <w:color w:val="000000" w:themeColor="text1"/>
          <w:sz w:val="22"/>
          <w:szCs w:val="22"/>
        </w:rPr>
        <w:t xml:space="preserve">AI holds the promise that computers can perceive and understand the world, enabling products and services that would have been previously unimaginable and impossible with traditional coding. AI learns from data, and the highest-performing AI will have learned from the highest-quality data. </w:t>
      </w:r>
      <w:r>
        <w:rPr>
          <w:color w:val="000000" w:themeColor="text1"/>
          <w:sz w:val="22"/>
          <w:szCs w:val="22"/>
        </w:rPr>
        <w:t xml:space="preserve">The Company </w:t>
      </w:r>
      <w:r w:rsidRPr="002A1476">
        <w:rPr>
          <w:color w:val="000000" w:themeColor="text1"/>
          <w:sz w:val="22"/>
          <w:szCs w:val="22"/>
        </w:rPr>
        <w:t>believe</w:t>
      </w:r>
      <w:r>
        <w:rPr>
          <w:color w:val="000000" w:themeColor="text1"/>
          <w:sz w:val="22"/>
          <w:szCs w:val="22"/>
        </w:rPr>
        <w:t xml:space="preserve">s </w:t>
      </w:r>
      <w:r w:rsidRPr="002A1476">
        <w:rPr>
          <w:color w:val="000000" w:themeColor="text1"/>
          <w:sz w:val="22"/>
          <w:szCs w:val="22"/>
        </w:rPr>
        <w:t xml:space="preserve">that </w:t>
      </w:r>
      <w:r>
        <w:rPr>
          <w:color w:val="000000" w:themeColor="text1"/>
          <w:sz w:val="22"/>
          <w:szCs w:val="22"/>
        </w:rPr>
        <w:t>it can contribute meaningfully by harnessing its capabilities, honed over 30 years, in collecting and annotating data at scale with consistency and high accuracy.</w:t>
      </w:r>
    </w:p>
    <w:p w14:paraId="2CA5D481" w14:textId="77777777" w:rsidR="00260423" w:rsidRDefault="00260423" w:rsidP="00260423">
      <w:pPr>
        <w:pStyle w:val="NormalWeb"/>
        <w:ind w:firstLine="720"/>
        <w:jc w:val="both"/>
        <w:rPr>
          <w:color w:val="000000" w:themeColor="text1"/>
          <w:sz w:val="22"/>
          <w:szCs w:val="22"/>
        </w:rPr>
      </w:pPr>
      <w:r>
        <w:rPr>
          <w:color w:val="000000" w:themeColor="text1"/>
          <w:sz w:val="22"/>
          <w:szCs w:val="22"/>
        </w:rPr>
        <w:t>The Company is</w:t>
      </w:r>
      <w:r w:rsidRPr="002A1476">
        <w:rPr>
          <w:color w:val="000000" w:themeColor="text1"/>
          <w:sz w:val="22"/>
          <w:szCs w:val="22"/>
        </w:rPr>
        <w:t xml:space="preserve"> also help</w:t>
      </w:r>
      <w:r>
        <w:rPr>
          <w:color w:val="000000" w:themeColor="text1"/>
          <w:sz w:val="22"/>
          <w:szCs w:val="22"/>
        </w:rPr>
        <w:t>ing</w:t>
      </w:r>
      <w:r w:rsidRPr="002A1476">
        <w:rPr>
          <w:color w:val="000000" w:themeColor="text1"/>
          <w:sz w:val="22"/>
          <w:szCs w:val="22"/>
        </w:rPr>
        <w:t xml:space="preserve"> companies deploy and integrate AI </w:t>
      </w:r>
      <w:r>
        <w:rPr>
          <w:color w:val="000000" w:themeColor="text1"/>
          <w:sz w:val="22"/>
          <w:szCs w:val="22"/>
        </w:rPr>
        <w:t xml:space="preserve">into their operations and products and providing innovative </w:t>
      </w:r>
      <w:r w:rsidRPr="002A1476">
        <w:rPr>
          <w:color w:val="000000" w:themeColor="text1"/>
          <w:sz w:val="22"/>
          <w:szCs w:val="22"/>
        </w:rPr>
        <w:t xml:space="preserve">AI-enabled </w:t>
      </w:r>
      <w:r>
        <w:rPr>
          <w:color w:val="000000" w:themeColor="text1"/>
          <w:sz w:val="22"/>
          <w:szCs w:val="22"/>
        </w:rPr>
        <w:t>industry platforms</w:t>
      </w:r>
      <w:r w:rsidRPr="002A1476">
        <w:rPr>
          <w:color w:val="000000" w:themeColor="text1"/>
          <w:sz w:val="22"/>
          <w:szCs w:val="22"/>
        </w:rPr>
        <w:t xml:space="preserve">, </w:t>
      </w:r>
      <w:r>
        <w:rPr>
          <w:color w:val="000000" w:themeColor="text1"/>
          <w:sz w:val="22"/>
          <w:szCs w:val="22"/>
        </w:rPr>
        <w:t>helping ensure</w:t>
      </w:r>
      <w:r w:rsidRPr="002A1476">
        <w:rPr>
          <w:color w:val="000000" w:themeColor="text1"/>
          <w:sz w:val="22"/>
          <w:szCs w:val="22"/>
        </w:rPr>
        <w:t xml:space="preserve"> </w:t>
      </w:r>
      <w:r>
        <w:rPr>
          <w:color w:val="000000" w:themeColor="text1"/>
          <w:sz w:val="22"/>
          <w:szCs w:val="22"/>
        </w:rPr>
        <w:t>that its customers’ businesses are prepared</w:t>
      </w:r>
      <w:r w:rsidRPr="002A1476">
        <w:rPr>
          <w:color w:val="000000" w:themeColor="text1"/>
          <w:sz w:val="22"/>
          <w:szCs w:val="22"/>
        </w:rPr>
        <w:t xml:space="preserve"> for a world in which machines augment human activity in ways previously unimaginable. </w:t>
      </w:r>
    </w:p>
    <w:p w14:paraId="70D62A3C" w14:textId="77777777" w:rsidR="00260423" w:rsidRPr="002A1476" w:rsidRDefault="00260423" w:rsidP="00260423">
      <w:pPr>
        <w:pStyle w:val="NormalWeb"/>
        <w:ind w:firstLine="720"/>
        <w:jc w:val="both"/>
        <w:rPr>
          <w:color w:val="000000" w:themeColor="text1"/>
          <w:sz w:val="22"/>
          <w:szCs w:val="22"/>
        </w:rPr>
      </w:pPr>
      <w:r>
        <w:rPr>
          <w:color w:val="000000" w:themeColor="text1"/>
          <w:sz w:val="22"/>
          <w:szCs w:val="22"/>
        </w:rPr>
        <w:t>The Company</w:t>
      </w:r>
      <w:r w:rsidRPr="002A1476">
        <w:rPr>
          <w:color w:val="000000" w:themeColor="text1"/>
          <w:sz w:val="22"/>
          <w:szCs w:val="22"/>
        </w:rPr>
        <w:t xml:space="preserve"> developed </w:t>
      </w:r>
      <w:r>
        <w:rPr>
          <w:color w:val="000000" w:themeColor="text1"/>
          <w:sz w:val="22"/>
          <w:szCs w:val="22"/>
        </w:rPr>
        <w:t xml:space="preserve">its </w:t>
      </w:r>
      <w:r w:rsidRPr="002A1476">
        <w:rPr>
          <w:color w:val="000000" w:themeColor="text1"/>
          <w:sz w:val="22"/>
          <w:szCs w:val="22"/>
        </w:rPr>
        <w:t xml:space="preserve">capabilities and honed </w:t>
      </w:r>
      <w:r>
        <w:rPr>
          <w:color w:val="000000" w:themeColor="text1"/>
          <w:sz w:val="22"/>
          <w:szCs w:val="22"/>
        </w:rPr>
        <w:t xml:space="preserve">its approaches </w:t>
      </w:r>
      <w:r w:rsidRPr="002A1476">
        <w:rPr>
          <w:color w:val="000000" w:themeColor="text1"/>
          <w:sz w:val="22"/>
          <w:szCs w:val="22"/>
        </w:rPr>
        <w:t xml:space="preserve">progressively over the last 30 years </w:t>
      </w:r>
      <w:r w:rsidRPr="002A1476">
        <w:rPr>
          <w:bCs/>
          <w:color w:val="000000" w:themeColor="text1"/>
          <w:sz w:val="22"/>
          <w:szCs w:val="22"/>
        </w:rPr>
        <w:t xml:space="preserve">creating high-quality data </w:t>
      </w:r>
      <w:r w:rsidRPr="002A1476">
        <w:rPr>
          <w:color w:val="000000" w:themeColor="text1"/>
          <w:sz w:val="22"/>
          <w:szCs w:val="22"/>
        </w:rPr>
        <w:t xml:space="preserve">for many of the world’s most demanding information companies. Approximately seven years ago, </w:t>
      </w:r>
      <w:r>
        <w:rPr>
          <w:color w:val="000000" w:themeColor="text1"/>
          <w:sz w:val="22"/>
          <w:szCs w:val="22"/>
        </w:rPr>
        <w:t>the Company</w:t>
      </w:r>
      <w:r w:rsidRPr="002A1476">
        <w:rPr>
          <w:color w:val="000000" w:themeColor="text1"/>
          <w:sz w:val="22"/>
          <w:szCs w:val="22"/>
        </w:rPr>
        <w:t xml:space="preserve"> formed Innodata Labs, a research and development center, to research, develop and apply machine learning and emerging AI to </w:t>
      </w:r>
      <w:r>
        <w:rPr>
          <w:color w:val="000000" w:themeColor="text1"/>
          <w:sz w:val="22"/>
          <w:szCs w:val="22"/>
        </w:rPr>
        <w:t>its</w:t>
      </w:r>
      <w:r w:rsidRPr="002A1476">
        <w:rPr>
          <w:color w:val="000000" w:themeColor="text1"/>
          <w:sz w:val="22"/>
          <w:szCs w:val="22"/>
        </w:rPr>
        <w:t xml:space="preserve"> large-scale, human-intensive data operations. In 2019, </w:t>
      </w:r>
      <w:r>
        <w:rPr>
          <w:color w:val="000000" w:themeColor="text1"/>
          <w:sz w:val="22"/>
          <w:szCs w:val="22"/>
        </w:rPr>
        <w:t xml:space="preserve">the Company </w:t>
      </w:r>
      <w:r w:rsidRPr="002A1476">
        <w:rPr>
          <w:color w:val="000000" w:themeColor="text1"/>
          <w:sz w:val="22"/>
          <w:szCs w:val="22"/>
        </w:rPr>
        <w:t xml:space="preserve">began packaging the capabilities that emerged from </w:t>
      </w:r>
      <w:r>
        <w:rPr>
          <w:color w:val="000000" w:themeColor="text1"/>
          <w:sz w:val="22"/>
          <w:szCs w:val="22"/>
        </w:rPr>
        <w:t xml:space="preserve">its </w:t>
      </w:r>
      <w:r w:rsidRPr="002A1476">
        <w:rPr>
          <w:color w:val="000000" w:themeColor="text1"/>
          <w:sz w:val="22"/>
          <w:szCs w:val="22"/>
        </w:rPr>
        <w:t>R&amp;D efforts in order to align with several fast-growing new markets and help companies use AI/ML to drive performance benefits and business insights.</w:t>
      </w:r>
    </w:p>
    <w:p w14:paraId="631F23AD" w14:textId="77777777" w:rsidR="00260423" w:rsidRPr="00B94C92" w:rsidRDefault="00260423" w:rsidP="00260423">
      <w:pPr>
        <w:pStyle w:val="NormalWeb"/>
        <w:ind w:firstLine="720"/>
        <w:jc w:val="both"/>
        <w:rPr>
          <w:b/>
          <w:color w:val="000000" w:themeColor="text1"/>
          <w:sz w:val="22"/>
          <w:szCs w:val="22"/>
        </w:rPr>
      </w:pPr>
      <w:r>
        <w:rPr>
          <w:color w:val="000000" w:themeColor="text1"/>
          <w:sz w:val="22"/>
          <w:szCs w:val="22"/>
        </w:rPr>
        <w:t xml:space="preserve">The Company’s </w:t>
      </w:r>
      <w:r w:rsidRPr="002A1476">
        <w:rPr>
          <w:color w:val="000000" w:themeColor="text1"/>
          <w:sz w:val="22"/>
          <w:szCs w:val="22"/>
        </w:rPr>
        <w:t xml:space="preserve">historical core competency in high-quality data, combined with these R&amp;D efforts in applied AI, created the foundation for the evolution of </w:t>
      </w:r>
      <w:r>
        <w:rPr>
          <w:color w:val="000000" w:themeColor="text1"/>
          <w:sz w:val="22"/>
          <w:szCs w:val="22"/>
        </w:rPr>
        <w:t xml:space="preserve">the Company’s </w:t>
      </w:r>
      <w:r w:rsidRPr="002A1476">
        <w:rPr>
          <w:color w:val="000000" w:themeColor="text1"/>
          <w:sz w:val="22"/>
          <w:szCs w:val="22"/>
        </w:rPr>
        <w:t>offerings, which include AI Data Preparation, AI Model Deployment and Integration, and AI-Enabled Industry Platforms.</w:t>
      </w:r>
    </w:p>
    <w:p w14:paraId="3CA882A2" w14:textId="77777777" w:rsidR="00260423" w:rsidRPr="000634A4" w:rsidRDefault="00260423" w:rsidP="00260423">
      <w:pPr>
        <w:pStyle w:val="NormalWeb"/>
        <w:spacing w:before="0" w:beforeAutospacing="0" w:after="0" w:afterAutospacing="0"/>
        <w:jc w:val="both"/>
        <w:rPr>
          <w:b/>
          <w:sz w:val="22"/>
          <w:szCs w:val="22"/>
        </w:rPr>
      </w:pPr>
      <w:r w:rsidRPr="000634A4">
        <w:rPr>
          <w:b/>
          <w:sz w:val="22"/>
          <w:szCs w:val="22"/>
        </w:rPr>
        <w:tab/>
      </w:r>
      <w:r w:rsidRPr="002A1476">
        <w:rPr>
          <w:b/>
          <w:color w:val="000000" w:themeColor="text1"/>
          <w:sz w:val="22"/>
          <w:szCs w:val="22"/>
        </w:rPr>
        <w:t>AI Data Preparation</w:t>
      </w:r>
    </w:p>
    <w:p w14:paraId="27A85213" w14:textId="77777777" w:rsidR="00260423" w:rsidRPr="002A1476" w:rsidRDefault="00260423" w:rsidP="00260423">
      <w:pPr>
        <w:pStyle w:val="NormalWeb"/>
        <w:ind w:firstLine="720"/>
        <w:jc w:val="both"/>
        <w:rPr>
          <w:color w:val="000000" w:themeColor="text1"/>
          <w:sz w:val="22"/>
          <w:szCs w:val="22"/>
        </w:rPr>
      </w:pPr>
      <w:r>
        <w:rPr>
          <w:bCs/>
          <w:color w:val="000000" w:themeColor="text1"/>
          <w:sz w:val="22"/>
          <w:szCs w:val="22"/>
        </w:rPr>
        <w:t>The Company</w:t>
      </w:r>
      <w:r w:rsidRPr="002A1476">
        <w:rPr>
          <w:bCs/>
          <w:color w:val="000000" w:themeColor="text1"/>
          <w:sz w:val="22"/>
          <w:szCs w:val="22"/>
        </w:rPr>
        <w:t xml:space="preserve"> collect</w:t>
      </w:r>
      <w:r>
        <w:rPr>
          <w:bCs/>
          <w:color w:val="000000" w:themeColor="text1"/>
          <w:sz w:val="22"/>
          <w:szCs w:val="22"/>
        </w:rPr>
        <w:t>s</w:t>
      </w:r>
      <w:r w:rsidRPr="002A1476">
        <w:rPr>
          <w:bCs/>
          <w:color w:val="000000" w:themeColor="text1"/>
          <w:sz w:val="22"/>
          <w:szCs w:val="22"/>
        </w:rPr>
        <w:t xml:space="preserve"> or create</w:t>
      </w:r>
      <w:r>
        <w:rPr>
          <w:bCs/>
          <w:color w:val="000000" w:themeColor="text1"/>
          <w:sz w:val="22"/>
          <w:szCs w:val="22"/>
        </w:rPr>
        <w:t>s</w:t>
      </w:r>
      <w:r w:rsidRPr="002A1476">
        <w:rPr>
          <w:bCs/>
          <w:color w:val="000000" w:themeColor="text1"/>
          <w:sz w:val="22"/>
          <w:szCs w:val="22"/>
        </w:rPr>
        <w:t xml:space="preserve"> training data, annotate</w:t>
      </w:r>
      <w:r>
        <w:rPr>
          <w:bCs/>
          <w:color w:val="000000" w:themeColor="text1"/>
          <w:sz w:val="22"/>
          <w:szCs w:val="22"/>
        </w:rPr>
        <w:t>s</w:t>
      </w:r>
      <w:r w:rsidRPr="002A1476">
        <w:rPr>
          <w:bCs/>
          <w:color w:val="000000" w:themeColor="text1"/>
          <w:sz w:val="22"/>
          <w:szCs w:val="22"/>
        </w:rPr>
        <w:t xml:space="preserve"> training data, and train</w:t>
      </w:r>
      <w:r>
        <w:rPr>
          <w:bCs/>
          <w:color w:val="000000" w:themeColor="text1"/>
          <w:sz w:val="22"/>
          <w:szCs w:val="22"/>
        </w:rPr>
        <w:t>s</w:t>
      </w:r>
      <w:r w:rsidRPr="002A1476">
        <w:rPr>
          <w:bCs/>
          <w:color w:val="000000" w:themeColor="text1"/>
          <w:sz w:val="22"/>
          <w:szCs w:val="22"/>
        </w:rPr>
        <w:t xml:space="preserve"> AI algorithms for social media companies, robotics companies, financial services companies, and many others, working with images, text, video and audio. </w:t>
      </w:r>
      <w:r>
        <w:rPr>
          <w:color w:val="000000" w:themeColor="text1"/>
          <w:sz w:val="22"/>
          <w:szCs w:val="22"/>
        </w:rPr>
        <w:t xml:space="preserve">The Company </w:t>
      </w:r>
      <w:r w:rsidRPr="002A1476">
        <w:rPr>
          <w:color w:val="000000" w:themeColor="text1"/>
          <w:sz w:val="22"/>
          <w:szCs w:val="22"/>
        </w:rPr>
        <w:t>utilize</w:t>
      </w:r>
      <w:r>
        <w:rPr>
          <w:color w:val="000000" w:themeColor="text1"/>
          <w:sz w:val="22"/>
          <w:szCs w:val="22"/>
        </w:rPr>
        <w:t>s</w:t>
      </w:r>
      <w:r w:rsidRPr="002A1476">
        <w:rPr>
          <w:color w:val="000000" w:themeColor="text1"/>
          <w:sz w:val="22"/>
          <w:szCs w:val="22"/>
        </w:rPr>
        <w:t xml:space="preserve"> a variety of leading third-party image and video annotation tools. For text, </w:t>
      </w:r>
      <w:r>
        <w:rPr>
          <w:color w:val="000000" w:themeColor="text1"/>
          <w:sz w:val="22"/>
          <w:szCs w:val="22"/>
        </w:rPr>
        <w:t xml:space="preserve">the Company </w:t>
      </w:r>
      <w:r w:rsidRPr="002A1476">
        <w:rPr>
          <w:color w:val="000000" w:themeColor="text1"/>
          <w:sz w:val="22"/>
          <w:szCs w:val="22"/>
        </w:rPr>
        <w:t>use</w:t>
      </w:r>
      <w:r>
        <w:rPr>
          <w:color w:val="000000" w:themeColor="text1"/>
          <w:sz w:val="22"/>
          <w:szCs w:val="22"/>
        </w:rPr>
        <w:t xml:space="preserve">s its </w:t>
      </w:r>
      <w:r w:rsidRPr="002A1476">
        <w:rPr>
          <w:color w:val="000000" w:themeColor="text1"/>
          <w:sz w:val="22"/>
          <w:szCs w:val="22"/>
        </w:rPr>
        <w:t xml:space="preserve">proprietary data annotation platform that incorporates AI to reduce cost while improving consistency and quality of output. </w:t>
      </w:r>
      <w:r>
        <w:rPr>
          <w:color w:val="000000" w:themeColor="text1"/>
          <w:sz w:val="22"/>
          <w:szCs w:val="22"/>
        </w:rPr>
        <w:t xml:space="preserve">The Company’s </w:t>
      </w:r>
      <w:r w:rsidRPr="002A1476">
        <w:rPr>
          <w:color w:val="000000" w:themeColor="text1"/>
          <w:sz w:val="22"/>
          <w:szCs w:val="22"/>
        </w:rPr>
        <w:t xml:space="preserve">proprietary data annotation platform features auto-tagging capabilities that apply to both classical and generative AI tasks. </w:t>
      </w:r>
      <w:r>
        <w:rPr>
          <w:color w:val="000000" w:themeColor="text1"/>
          <w:sz w:val="22"/>
          <w:szCs w:val="22"/>
        </w:rPr>
        <w:t xml:space="preserve">The </w:t>
      </w:r>
      <w:r w:rsidRPr="002A1476">
        <w:rPr>
          <w:color w:val="000000" w:themeColor="text1"/>
          <w:sz w:val="22"/>
          <w:szCs w:val="22"/>
        </w:rPr>
        <w:t xml:space="preserve">platform encapsulates many of the innovations </w:t>
      </w:r>
      <w:r>
        <w:rPr>
          <w:color w:val="000000" w:themeColor="text1"/>
          <w:sz w:val="22"/>
          <w:szCs w:val="22"/>
        </w:rPr>
        <w:t>the Company has</w:t>
      </w:r>
      <w:r w:rsidRPr="002A1476">
        <w:rPr>
          <w:color w:val="000000" w:themeColor="text1"/>
          <w:sz w:val="22"/>
          <w:szCs w:val="22"/>
        </w:rPr>
        <w:t xml:space="preserve"> conceived of in the course of </w:t>
      </w:r>
      <w:r>
        <w:rPr>
          <w:color w:val="000000" w:themeColor="text1"/>
          <w:sz w:val="22"/>
          <w:szCs w:val="22"/>
        </w:rPr>
        <w:t xml:space="preserve">its </w:t>
      </w:r>
      <w:r w:rsidRPr="002A1476">
        <w:rPr>
          <w:color w:val="000000" w:themeColor="text1"/>
          <w:sz w:val="22"/>
          <w:szCs w:val="22"/>
        </w:rPr>
        <w:t>30-year history of creating high-quality data.</w:t>
      </w:r>
    </w:p>
    <w:p w14:paraId="7F6178D7" w14:textId="77777777" w:rsidR="00260423" w:rsidRPr="002A1476" w:rsidRDefault="00260423" w:rsidP="00260423">
      <w:pPr>
        <w:pStyle w:val="NormalWeb"/>
        <w:ind w:firstLine="720"/>
        <w:jc w:val="both"/>
        <w:rPr>
          <w:color w:val="000000" w:themeColor="text1"/>
          <w:sz w:val="22"/>
          <w:szCs w:val="22"/>
        </w:rPr>
      </w:pPr>
      <w:r w:rsidRPr="002A1476">
        <w:rPr>
          <w:bCs/>
          <w:color w:val="000000" w:themeColor="text1"/>
          <w:sz w:val="22"/>
          <w:szCs w:val="22"/>
        </w:rPr>
        <w:t xml:space="preserve">In addition, because collecting real-world data is often impracticable (due to data privacy regulations or rarity of cohorts and outliers), </w:t>
      </w:r>
      <w:r>
        <w:rPr>
          <w:bCs/>
          <w:color w:val="000000" w:themeColor="text1"/>
          <w:sz w:val="22"/>
          <w:szCs w:val="22"/>
        </w:rPr>
        <w:t xml:space="preserve">the Company </w:t>
      </w:r>
      <w:r w:rsidRPr="002A1476">
        <w:rPr>
          <w:color w:val="000000" w:themeColor="text1"/>
          <w:sz w:val="22"/>
          <w:szCs w:val="22"/>
        </w:rPr>
        <w:t>create</w:t>
      </w:r>
      <w:r>
        <w:rPr>
          <w:color w:val="000000" w:themeColor="text1"/>
          <w:sz w:val="22"/>
          <w:szCs w:val="22"/>
        </w:rPr>
        <w:t>s</w:t>
      </w:r>
      <w:r w:rsidRPr="002A1476">
        <w:rPr>
          <w:color w:val="000000" w:themeColor="text1"/>
          <w:sz w:val="22"/>
          <w:szCs w:val="22"/>
        </w:rPr>
        <w:t xml:space="preserve"> high-quality synthetic data </w:t>
      </w:r>
      <w:r w:rsidRPr="002A1476">
        <w:rPr>
          <w:bCs/>
          <w:color w:val="000000" w:themeColor="text1"/>
          <w:sz w:val="22"/>
          <w:szCs w:val="22"/>
        </w:rPr>
        <w:t>that maintains all of the statistical properties of real-world data, u</w:t>
      </w:r>
      <w:r w:rsidRPr="002A1476">
        <w:rPr>
          <w:color w:val="000000" w:themeColor="text1"/>
          <w:sz w:val="22"/>
          <w:szCs w:val="22"/>
        </w:rPr>
        <w:t xml:space="preserve">sing a combination of domain specialists and machine technologies that leverage </w:t>
      </w:r>
      <w:r>
        <w:rPr>
          <w:color w:val="000000" w:themeColor="text1"/>
          <w:sz w:val="22"/>
          <w:szCs w:val="22"/>
        </w:rPr>
        <w:t>large</w:t>
      </w:r>
      <w:r w:rsidRPr="002A1476">
        <w:rPr>
          <w:color w:val="000000" w:themeColor="text1"/>
          <w:sz w:val="22"/>
          <w:szCs w:val="22"/>
        </w:rPr>
        <w:t xml:space="preserve"> language models</w:t>
      </w:r>
      <w:r>
        <w:rPr>
          <w:color w:val="000000" w:themeColor="text1"/>
          <w:sz w:val="22"/>
          <w:szCs w:val="22"/>
        </w:rPr>
        <w:t xml:space="preserve"> (LLMs)</w:t>
      </w:r>
      <w:r w:rsidRPr="002A1476">
        <w:rPr>
          <w:color w:val="000000" w:themeColor="text1"/>
          <w:sz w:val="22"/>
          <w:szCs w:val="22"/>
        </w:rPr>
        <w:t>.</w:t>
      </w:r>
    </w:p>
    <w:p w14:paraId="5965DD6B" w14:textId="77777777" w:rsidR="00260423" w:rsidRPr="002A1476" w:rsidRDefault="00260423" w:rsidP="00260423">
      <w:pPr>
        <w:pStyle w:val="NormalWeb"/>
        <w:ind w:firstLine="720"/>
        <w:jc w:val="both"/>
        <w:rPr>
          <w:b/>
          <w:color w:val="000000" w:themeColor="text1"/>
          <w:sz w:val="22"/>
          <w:szCs w:val="22"/>
        </w:rPr>
      </w:pPr>
      <w:r w:rsidRPr="002A1476">
        <w:rPr>
          <w:b/>
          <w:color w:val="000000" w:themeColor="text1"/>
          <w:sz w:val="22"/>
          <w:szCs w:val="22"/>
        </w:rPr>
        <w:t>AI Model Deployment and Integration</w:t>
      </w:r>
    </w:p>
    <w:p w14:paraId="33EC41E4" w14:textId="59F23A3E" w:rsidR="00260423" w:rsidRDefault="00260423" w:rsidP="00260423">
      <w:pPr>
        <w:pStyle w:val="NormalWeb"/>
        <w:ind w:firstLine="720"/>
        <w:jc w:val="both"/>
        <w:rPr>
          <w:bCs/>
          <w:color w:val="000000" w:themeColor="text1"/>
          <w:sz w:val="22"/>
          <w:szCs w:val="22"/>
        </w:rPr>
      </w:pPr>
      <w:r>
        <w:rPr>
          <w:bCs/>
          <w:color w:val="000000" w:themeColor="text1"/>
          <w:sz w:val="22"/>
          <w:szCs w:val="22"/>
        </w:rPr>
        <w:lastRenderedPageBreak/>
        <w:t>The Company</w:t>
      </w:r>
      <w:r w:rsidRPr="002A1476">
        <w:rPr>
          <w:bCs/>
          <w:color w:val="000000" w:themeColor="text1"/>
          <w:sz w:val="22"/>
          <w:szCs w:val="22"/>
        </w:rPr>
        <w:t xml:space="preserve"> help</w:t>
      </w:r>
      <w:r>
        <w:rPr>
          <w:bCs/>
          <w:color w:val="000000" w:themeColor="text1"/>
          <w:sz w:val="22"/>
          <w:szCs w:val="22"/>
        </w:rPr>
        <w:t>s</w:t>
      </w:r>
      <w:r w:rsidRPr="002A1476">
        <w:rPr>
          <w:bCs/>
          <w:color w:val="000000" w:themeColor="text1"/>
          <w:sz w:val="22"/>
          <w:szCs w:val="22"/>
        </w:rPr>
        <w:t xml:space="preserve"> businesses leverage the latest AI technologies to achieve their goals. </w:t>
      </w:r>
      <w:r>
        <w:rPr>
          <w:bCs/>
          <w:color w:val="000000" w:themeColor="text1"/>
          <w:sz w:val="22"/>
          <w:szCs w:val="22"/>
        </w:rPr>
        <w:t>The Company</w:t>
      </w:r>
      <w:r w:rsidRPr="002A1476">
        <w:rPr>
          <w:bCs/>
          <w:color w:val="000000" w:themeColor="text1"/>
          <w:sz w:val="22"/>
          <w:szCs w:val="22"/>
        </w:rPr>
        <w:t xml:space="preserve"> develop</w:t>
      </w:r>
      <w:r>
        <w:rPr>
          <w:bCs/>
          <w:color w:val="000000" w:themeColor="text1"/>
          <w:sz w:val="22"/>
          <w:szCs w:val="22"/>
        </w:rPr>
        <w:t>s</w:t>
      </w:r>
      <w:r w:rsidRPr="002A1476">
        <w:rPr>
          <w:bCs/>
          <w:color w:val="000000" w:themeColor="text1"/>
          <w:sz w:val="22"/>
          <w:szCs w:val="22"/>
        </w:rPr>
        <w:t xml:space="preserve"> custom AI models (where </w:t>
      </w:r>
      <w:r>
        <w:rPr>
          <w:bCs/>
          <w:color w:val="000000" w:themeColor="text1"/>
          <w:sz w:val="22"/>
          <w:szCs w:val="22"/>
        </w:rPr>
        <w:t>it</w:t>
      </w:r>
      <w:r w:rsidRPr="002A1476">
        <w:rPr>
          <w:bCs/>
          <w:color w:val="000000" w:themeColor="text1"/>
          <w:sz w:val="22"/>
          <w:szCs w:val="22"/>
        </w:rPr>
        <w:t xml:space="preserve"> select</w:t>
      </w:r>
      <w:r>
        <w:rPr>
          <w:bCs/>
          <w:color w:val="000000" w:themeColor="text1"/>
          <w:sz w:val="22"/>
          <w:szCs w:val="22"/>
        </w:rPr>
        <w:t>s</w:t>
      </w:r>
      <w:r w:rsidRPr="002A1476">
        <w:rPr>
          <w:bCs/>
          <w:color w:val="000000" w:themeColor="text1"/>
          <w:sz w:val="22"/>
          <w:szCs w:val="22"/>
        </w:rPr>
        <w:t xml:space="preserve"> the appropriate algorithms, tune</w:t>
      </w:r>
      <w:r>
        <w:rPr>
          <w:bCs/>
          <w:color w:val="000000" w:themeColor="text1"/>
          <w:sz w:val="22"/>
          <w:szCs w:val="22"/>
        </w:rPr>
        <w:t>s</w:t>
      </w:r>
      <w:r w:rsidRPr="002A1476">
        <w:rPr>
          <w:bCs/>
          <w:color w:val="000000" w:themeColor="text1"/>
          <w:sz w:val="22"/>
          <w:szCs w:val="22"/>
        </w:rPr>
        <w:t xml:space="preserve"> hyperparameters, train</w:t>
      </w:r>
      <w:r>
        <w:rPr>
          <w:bCs/>
          <w:color w:val="000000" w:themeColor="text1"/>
          <w:sz w:val="22"/>
          <w:szCs w:val="22"/>
        </w:rPr>
        <w:t>s</w:t>
      </w:r>
      <w:r w:rsidRPr="002A1476">
        <w:rPr>
          <w:bCs/>
          <w:color w:val="000000" w:themeColor="text1"/>
          <w:sz w:val="22"/>
          <w:szCs w:val="22"/>
        </w:rPr>
        <w:t xml:space="preserve"> and validate</w:t>
      </w:r>
      <w:r>
        <w:rPr>
          <w:bCs/>
          <w:color w:val="000000" w:themeColor="text1"/>
          <w:sz w:val="22"/>
          <w:szCs w:val="22"/>
        </w:rPr>
        <w:t>s</w:t>
      </w:r>
      <w:r w:rsidRPr="002A1476">
        <w:rPr>
          <w:bCs/>
          <w:color w:val="000000" w:themeColor="text1"/>
          <w:sz w:val="22"/>
          <w:szCs w:val="22"/>
        </w:rPr>
        <w:t xml:space="preserve"> the models, and update</w:t>
      </w:r>
      <w:r>
        <w:rPr>
          <w:bCs/>
          <w:color w:val="000000" w:themeColor="text1"/>
          <w:sz w:val="22"/>
          <w:szCs w:val="22"/>
        </w:rPr>
        <w:t>s</w:t>
      </w:r>
      <w:r w:rsidRPr="002A1476">
        <w:rPr>
          <w:bCs/>
          <w:color w:val="000000" w:themeColor="text1"/>
          <w:sz w:val="22"/>
          <w:szCs w:val="22"/>
        </w:rPr>
        <w:t xml:space="preserve"> the models as required). </w:t>
      </w:r>
      <w:r>
        <w:rPr>
          <w:bCs/>
          <w:color w:val="000000" w:themeColor="text1"/>
          <w:sz w:val="22"/>
          <w:szCs w:val="22"/>
        </w:rPr>
        <w:t>The Company</w:t>
      </w:r>
      <w:r w:rsidRPr="002A1476">
        <w:rPr>
          <w:bCs/>
          <w:color w:val="000000" w:themeColor="text1"/>
          <w:sz w:val="22"/>
          <w:szCs w:val="22"/>
        </w:rPr>
        <w:t xml:space="preserve"> also help</w:t>
      </w:r>
      <w:r w:rsidR="000F5515">
        <w:rPr>
          <w:bCs/>
          <w:color w:val="000000" w:themeColor="text1"/>
          <w:sz w:val="22"/>
          <w:szCs w:val="22"/>
        </w:rPr>
        <w:t>s</w:t>
      </w:r>
      <w:r w:rsidRPr="002A1476">
        <w:rPr>
          <w:bCs/>
          <w:color w:val="000000" w:themeColor="text1"/>
          <w:sz w:val="22"/>
          <w:szCs w:val="22"/>
        </w:rPr>
        <w:t xml:space="preserve"> businesses fine-tune their own custom versions of </w:t>
      </w:r>
      <w:r>
        <w:rPr>
          <w:bCs/>
          <w:color w:val="000000" w:themeColor="text1"/>
          <w:sz w:val="22"/>
          <w:szCs w:val="22"/>
        </w:rPr>
        <w:t>the Company’s</w:t>
      </w:r>
      <w:r w:rsidRPr="002A1476">
        <w:rPr>
          <w:bCs/>
          <w:color w:val="000000" w:themeColor="text1"/>
          <w:sz w:val="22"/>
          <w:szCs w:val="22"/>
        </w:rPr>
        <w:t xml:space="preserve"> proprietary models and third-party foundation models to address domain-specific and customer-specific use cases.</w:t>
      </w:r>
    </w:p>
    <w:p w14:paraId="09A89083" w14:textId="77777777" w:rsidR="00260423" w:rsidRPr="002A1476" w:rsidRDefault="00260423" w:rsidP="00260423">
      <w:pPr>
        <w:pStyle w:val="NormalWeb"/>
        <w:ind w:firstLine="720"/>
        <w:jc w:val="both"/>
        <w:rPr>
          <w:bCs/>
          <w:color w:val="000000" w:themeColor="text1"/>
          <w:sz w:val="22"/>
          <w:szCs w:val="22"/>
        </w:rPr>
      </w:pPr>
      <w:r>
        <w:rPr>
          <w:bCs/>
          <w:color w:val="000000" w:themeColor="text1"/>
          <w:sz w:val="22"/>
          <w:szCs w:val="22"/>
        </w:rPr>
        <w:t>I</w:t>
      </w:r>
      <w:r w:rsidRPr="002A1476">
        <w:rPr>
          <w:bCs/>
          <w:color w:val="000000" w:themeColor="text1"/>
          <w:sz w:val="22"/>
          <w:szCs w:val="22"/>
        </w:rPr>
        <w:t xml:space="preserve">n addition to deploying and integrating AI models, </w:t>
      </w:r>
      <w:r>
        <w:rPr>
          <w:bCs/>
          <w:color w:val="000000" w:themeColor="text1"/>
          <w:sz w:val="22"/>
          <w:szCs w:val="22"/>
        </w:rPr>
        <w:t>the Company</w:t>
      </w:r>
      <w:r w:rsidRPr="002A1476">
        <w:rPr>
          <w:bCs/>
          <w:color w:val="000000" w:themeColor="text1"/>
          <w:sz w:val="22"/>
          <w:szCs w:val="22"/>
        </w:rPr>
        <w:t xml:space="preserve"> often provide</w:t>
      </w:r>
      <w:r>
        <w:rPr>
          <w:bCs/>
          <w:color w:val="000000" w:themeColor="text1"/>
          <w:sz w:val="22"/>
          <w:szCs w:val="22"/>
        </w:rPr>
        <w:t>s</w:t>
      </w:r>
      <w:r w:rsidRPr="002A1476">
        <w:rPr>
          <w:bCs/>
          <w:color w:val="000000" w:themeColor="text1"/>
          <w:sz w:val="22"/>
          <w:szCs w:val="22"/>
        </w:rPr>
        <w:t xml:space="preserve"> a range of data engineering support services</w:t>
      </w:r>
      <w:r>
        <w:rPr>
          <w:bCs/>
          <w:color w:val="000000" w:themeColor="text1"/>
          <w:sz w:val="22"/>
          <w:szCs w:val="22"/>
        </w:rPr>
        <w:t xml:space="preserve"> </w:t>
      </w:r>
      <w:r w:rsidRPr="002A1476">
        <w:rPr>
          <w:bCs/>
          <w:color w:val="000000" w:themeColor="text1"/>
          <w:sz w:val="22"/>
          <w:szCs w:val="22"/>
        </w:rPr>
        <w:t>including data transformation, data curation, data hygiene, data consolidation, data extraction, data compliance, and master data management.</w:t>
      </w:r>
    </w:p>
    <w:p w14:paraId="22BCAC69" w14:textId="77777777" w:rsidR="00260423" w:rsidRPr="000634A4" w:rsidRDefault="00260423" w:rsidP="00260423">
      <w:pPr>
        <w:pStyle w:val="NormalWeb"/>
        <w:ind w:firstLine="720"/>
        <w:jc w:val="both"/>
        <w:rPr>
          <w:bCs/>
          <w:sz w:val="22"/>
          <w:szCs w:val="22"/>
        </w:rPr>
      </w:pPr>
      <w:r>
        <w:rPr>
          <w:bCs/>
          <w:sz w:val="22"/>
          <w:szCs w:val="22"/>
        </w:rPr>
        <w:t xml:space="preserve">The </w:t>
      </w:r>
      <w:r w:rsidRPr="000634A4">
        <w:rPr>
          <w:bCs/>
          <w:sz w:val="22"/>
          <w:szCs w:val="22"/>
        </w:rPr>
        <w:t>Company’s customers span a diverse range of industries and a wide range of AI use cases, benefiting from the short time-to-value and high economic returns of the Company’s AI solutions and platforms.</w:t>
      </w:r>
    </w:p>
    <w:p w14:paraId="3B2F022D" w14:textId="77777777" w:rsidR="00260423" w:rsidRPr="002A1476" w:rsidRDefault="00260423" w:rsidP="00260423">
      <w:pPr>
        <w:pStyle w:val="NormalWeb"/>
        <w:ind w:firstLine="720"/>
        <w:jc w:val="both"/>
        <w:rPr>
          <w:b/>
          <w:bCs/>
          <w:color w:val="000000" w:themeColor="text1"/>
          <w:sz w:val="22"/>
          <w:szCs w:val="22"/>
        </w:rPr>
      </w:pPr>
      <w:r w:rsidRPr="002A1476">
        <w:rPr>
          <w:b/>
          <w:bCs/>
          <w:color w:val="000000" w:themeColor="text1"/>
          <w:sz w:val="22"/>
          <w:szCs w:val="22"/>
        </w:rPr>
        <w:t>AI-Enabled Industry Platforms</w:t>
      </w:r>
    </w:p>
    <w:p w14:paraId="15733D82" w14:textId="77777777" w:rsidR="00260423" w:rsidRPr="002A1476" w:rsidRDefault="00260423" w:rsidP="00260423">
      <w:pPr>
        <w:ind w:firstLine="720"/>
        <w:jc w:val="both"/>
        <w:rPr>
          <w:bCs/>
          <w:color w:val="000000" w:themeColor="text1"/>
          <w:sz w:val="22"/>
          <w:szCs w:val="22"/>
        </w:rPr>
      </w:pPr>
      <w:r>
        <w:rPr>
          <w:bCs/>
          <w:color w:val="000000" w:themeColor="text1"/>
          <w:sz w:val="22"/>
          <w:szCs w:val="22"/>
        </w:rPr>
        <w:t>The Company’s</w:t>
      </w:r>
      <w:r w:rsidRPr="002A1476">
        <w:rPr>
          <w:bCs/>
          <w:color w:val="000000" w:themeColor="text1"/>
          <w:sz w:val="22"/>
          <w:szCs w:val="22"/>
        </w:rPr>
        <w:t xml:space="preserve"> AI-enabled industry platforms address specific, niche market requirements </w:t>
      </w:r>
      <w:r>
        <w:rPr>
          <w:bCs/>
          <w:color w:val="000000" w:themeColor="text1"/>
          <w:sz w:val="22"/>
          <w:szCs w:val="22"/>
        </w:rPr>
        <w:t xml:space="preserve">the Company </w:t>
      </w:r>
      <w:r w:rsidRPr="002A1476">
        <w:rPr>
          <w:bCs/>
          <w:color w:val="000000" w:themeColor="text1"/>
          <w:sz w:val="22"/>
          <w:szCs w:val="22"/>
        </w:rPr>
        <w:t>believe</w:t>
      </w:r>
      <w:r>
        <w:rPr>
          <w:bCs/>
          <w:color w:val="000000" w:themeColor="text1"/>
          <w:sz w:val="22"/>
          <w:szCs w:val="22"/>
        </w:rPr>
        <w:t xml:space="preserve">s it </w:t>
      </w:r>
      <w:r w:rsidRPr="002A1476">
        <w:rPr>
          <w:bCs/>
          <w:color w:val="000000" w:themeColor="text1"/>
          <w:sz w:val="22"/>
          <w:szCs w:val="22"/>
        </w:rPr>
        <w:t xml:space="preserve">can </w:t>
      </w:r>
      <w:r>
        <w:rPr>
          <w:bCs/>
          <w:color w:val="000000" w:themeColor="text1"/>
          <w:sz w:val="22"/>
          <w:szCs w:val="22"/>
        </w:rPr>
        <w:t>innovate</w:t>
      </w:r>
      <w:r w:rsidRPr="002A1476">
        <w:rPr>
          <w:bCs/>
          <w:color w:val="000000" w:themeColor="text1"/>
          <w:sz w:val="22"/>
          <w:szCs w:val="22"/>
        </w:rPr>
        <w:t xml:space="preserve"> with AI/ML technologies. </w:t>
      </w:r>
      <w:r>
        <w:rPr>
          <w:bCs/>
          <w:color w:val="000000" w:themeColor="text1"/>
          <w:sz w:val="22"/>
          <w:szCs w:val="22"/>
        </w:rPr>
        <w:t>The Company</w:t>
      </w:r>
      <w:r w:rsidRPr="002A1476">
        <w:rPr>
          <w:bCs/>
          <w:color w:val="000000" w:themeColor="text1"/>
          <w:sz w:val="22"/>
          <w:szCs w:val="22"/>
        </w:rPr>
        <w:t xml:space="preserve"> deploy</w:t>
      </w:r>
      <w:r>
        <w:rPr>
          <w:bCs/>
          <w:color w:val="000000" w:themeColor="text1"/>
          <w:sz w:val="22"/>
          <w:szCs w:val="22"/>
        </w:rPr>
        <w:t>s</w:t>
      </w:r>
      <w:r w:rsidRPr="002A1476">
        <w:rPr>
          <w:bCs/>
          <w:color w:val="000000" w:themeColor="text1"/>
          <w:sz w:val="22"/>
          <w:szCs w:val="22"/>
        </w:rPr>
        <w:t xml:space="preserve"> these industry platforms as </w:t>
      </w:r>
      <w:r w:rsidRPr="002A1476">
        <w:rPr>
          <w:color w:val="000000" w:themeColor="text1"/>
          <w:sz w:val="22"/>
          <w:szCs w:val="22"/>
        </w:rPr>
        <w:t xml:space="preserve">software-as-a-service (SaaS) and as managed services. These platforms benefit from </w:t>
      </w:r>
      <w:r>
        <w:rPr>
          <w:color w:val="000000" w:themeColor="text1"/>
          <w:sz w:val="22"/>
          <w:szCs w:val="22"/>
        </w:rPr>
        <w:t>the Company’s</w:t>
      </w:r>
      <w:r w:rsidRPr="002A1476">
        <w:rPr>
          <w:color w:val="000000" w:themeColor="text1"/>
          <w:sz w:val="22"/>
          <w:szCs w:val="22"/>
        </w:rPr>
        <w:t xml:space="preserve"> technology infrastructure, </w:t>
      </w:r>
      <w:r>
        <w:rPr>
          <w:color w:val="000000" w:themeColor="text1"/>
          <w:sz w:val="22"/>
          <w:szCs w:val="22"/>
        </w:rPr>
        <w:t>its</w:t>
      </w:r>
      <w:r w:rsidRPr="002A1476">
        <w:rPr>
          <w:color w:val="000000" w:themeColor="text1"/>
          <w:sz w:val="22"/>
          <w:szCs w:val="22"/>
        </w:rPr>
        <w:t xml:space="preserve"> industry-specific knowledge, </w:t>
      </w:r>
      <w:r>
        <w:rPr>
          <w:color w:val="000000" w:themeColor="text1"/>
          <w:sz w:val="22"/>
          <w:szCs w:val="22"/>
        </w:rPr>
        <w:t>its</w:t>
      </w:r>
      <w:r w:rsidRPr="002A1476">
        <w:rPr>
          <w:color w:val="000000" w:themeColor="text1"/>
          <w:sz w:val="22"/>
          <w:szCs w:val="22"/>
        </w:rPr>
        <w:t xml:space="preserve"> strong customer relationships and experience merging technology with the business processes of </w:t>
      </w:r>
      <w:r>
        <w:rPr>
          <w:color w:val="000000" w:themeColor="text1"/>
          <w:sz w:val="22"/>
          <w:szCs w:val="22"/>
        </w:rPr>
        <w:t>its</w:t>
      </w:r>
      <w:r w:rsidRPr="002A1476">
        <w:rPr>
          <w:color w:val="000000" w:themeColor="text1"/>
          <w:sz w:val="22"/>
          <w:szCs w:val="22"/>
        </w:rPr>
        <w:t xml:space="preserve"> customers. </w:t>
      </w:r>
      <w:r w:rsidRPr="002A1476">
        <w:rPr>
          <w:bCs/>
          <w:color w:val="000000" w:themeColor="text1"/>
          <w:sz w:val="22"/>
          <w:szCs w:val="22"/>
        </w:rPr>
        <w:t xml:space="preserve">To date, </w:t>
      </w:r>
      <w:r>
        <w:rPr>
          <w:bCs/>
          <w:color w:val="000000" w:themeColor="text1"/>
          <w:sz w:val="22"/>
          <w:szCs w:val="22"/>
        </w:rPr>
        <w:t>the Company has</w:t>
      </w:r>
      <w:r w:rsidRPr="002A1476">
        <w:rPr>
          <w:bCs/>
          <w:color w:val="000000" w:themeColor="text1"/>
          <w:sz w:val="22"/>
          <w:szCs w:val="22"/>
        </w:rPr>
        <w:t xml:space="preserve"> built an industry platform for medical records data extraction and transformation (which </w:t>
      </w:r>
      <w:r>
        <w:rPr>
          <w:bCs/>
          <w:color w:val="000000" w:themeColor="text1"/>
          <w:sz w:val="22"/>
          <w:szCs w:val="22"/>
        </w:rPr>
        <w:t>the Company</w:t>
      </w:r>
      <w:r w:rsidRPr="002A1476">
        <w:rPr>
          <w:bCs/>
          <w:color w:val="000000" w:themeColor="text1"/>
          <w:sz w:val="22"/>
          <w:szCs w:val="22"/>
        </w:rPr>
        <w:t xml:space="preserve"> brand</w:t>
      </w:r>
      <w:r>
        <w:rPr>
          <w:bCs/>
          <w:color w:val="000000" w:themeColor="text1"/>
          <w:sz w:val="22"/>
          <w:szCs w:val="22"/>
        </w:rPr>
        <w:t>s</w:t>
      </w:r>
      <w:r w:rsidRPr="002A1476">
        <w:rPr>
          <w:bCs/>
          <w:color w:val="000000" w:themeColor="text1"/>
          <w:sz w:val="22"/>
          <w:szCs w:val="22"/>
        </w:rPr>
        <w:t xml:space="preserve"> as “Synodex</w:t>
      </w:r>
      <w:r w:rsidRPr="002A1476">
        <w:rPr>
          <w:bCs/>
          <w:color w:val="000000" w:themeColor="text1"/>
          <w:sz w:val="22"/>
          <w:szCs w:val="22"/>
          <w:u w:val="single"/>
          <w:vertAlign w:val="superscript"/>
        </w:rPr>
        <w:t>®</w:t>
      </w:r>
      <w:r w:rsidRPr="002A1476">
        <w:rPr>
          <w:bCs/>
          <w:color w:val="000000" w:themeColor="text1"/>
          <w:sz w:val="22"/>
          <w:szCs w:val="22"/>
        </w:rPr>
        <w:t xml:space="preserve">”) and an industry platform for public relations (which </w:t>
      </w:r>
      <w:r>
        <w:rPr>
          <w:bCs/>
          <w:color w:val="000000" w:themeColor="text1"/>
          <w:sz w:val="22"/>
          <w:szCs w:val="22"/>
        </w:rPr>
        <w:t xml:space="preserve">the Company </w:t>
      </w:r>
      <w:r w:rsidRPr="002A1476">
        <w:rPr>
          <w:bCs/>
          <w:color w:val="000000" w:themeColor="text1"/>
          <w:sz w:val="22"/>
          <w:szCs w:val="22"/>
        </w:rPr>
        <w:t>brand</w:t>
      </w:r>
      <w:r>
        <w:rPr>
          <w:bCs/>
          <w:color w:val="000000" w:themeColor="text1"/>
          <w:sz w:val="22"/>
          <w:szCs w:val="22"/>
        </w:rPr>
        <w:t>s</w:t>
      </w:r>
      <w:r w:rsidRPr="002A1476">
        <w:rPr>
          <w:bCs/>
          <w:color w:val="000000" w:themeColor="text1"/>
          <w:sz w:val="22"/>
          <w:szCs w:val="22"/>
        </w:rPr>
        <w:t xml:space="preserve"> as “Agility PR Solutions”). </w:t>
      </w:r>
      <w:r>
        <w:rPr>
          <w:bCs/>
          <w:color w:val="000000" w:themeColor="text1"/>
          <w:sz w:val="22"/>
          <w:szCs w:val="22"/>
        </w:rPr>
        <w:t>The Company is</w:t>
      </w:r>
      <w:r w:rsidRPr="002A1476">
        <w:rPr>
          <w:bCs/>
          <w:color w:val="000000" w:themeColor="text1"/>
          <w:sz w:val="22"/>
          <w:szCs w:val="22"/>
        </w:rPr>
        <w:t xml:space="preserve"> in development with an additional AI-enabled industry platform to serve financial services institutions.</w:t>
      </w:r>
    </w:p>
    <w:p w14:paraId="010B70CF" w14:textId="77777777" w:rsidR="00260423" w:rsidRPr="000634A4" w:rsidRDefault="00260423" w:rsidP="00260423">
      <w:pPr>
        <w:pStyle w:val="NormalWeb"/>
        <w:ind w:firstLine="720"/>
        <w:jc w:val="both"/>
        <w:rPr>
          <w:sz w:val="22"/>
          <w:szCs w:val="22"/>
        </w:rPr>
      </w:pPr>
      <w:r w:rsidRPr="000634A4">
        <w:rPr>
          <w:sz w:val="22"/>
          <w:szCs w:val="22"/>
        </w:rPr>
        <w:t xml:space="preserve">The Company’s Synodex industry platform transforms medical records into useable digital data organized in accordance with its proprietary data models or customer data models. </w:t>
      </w:r>
    </w:p>
    <w:p w14:paraId="2EF35ABD" w14:textId="77777777" w:rsidR="00260423" w:rsidRPr="000634A4" w:rsidRDefault="00260423" w:rsidP="00260423">
      <w:pPr>
        <w:pStyle w:val="NormalWeb"/>
        <w:spacing w:before="0" w:beforeAutospacing="0" w:after="0" w:afterAutospacing="0"/>
        <w:ind w:firstLine="720"/>
        <w:jc w:val="both"/>
        <w:rPr>
          <w:sz w:val="22"/>
          <w:szCs w:val="22"/>
        </w:rPr>
      </w:pPr>
      <w:r w:rsidRPr="000634A4">
        <w:rPr>
          <w:sz w:val="22"/>
          <w:szCs w:val="22"/>
        </w:rPr>
        <w:t>The Company’s Agility industry platform provides marketing communications and public relations professionals with the ability to target and distribute content to journalists and social media influencers world-wide and to monitor and analyze global news</w:t>
      </w:r>
      <w:r w:rsidRPr="000634A4">
        <w:rPr>
          <w:rStyle w:val="CommentReference"/>
          <w:rFonts w:ascii="Times Roman" w:hAnsi="Times Roman"/>
          <w:sz w:val="22"/>
          <w:szCs w:val="22"/>
        </w:rPr>
        <w:t xml:space="preserve"> </w:t>
      </w:r>
      <w:r w:rsidRPr="000634A4">
        <w:rPr>
          <w:sz w:val="22"/>
          <w:szCs w:val="22"/>
        </w:rPr>
        <w:t xml:space="preserve">(print, web, radio and TV) and social media.  </w:t>
      </w:r>
    </w:p>
    <w:p w14:paraId="48ECDE93" w14:textId="77777777" w:rsidR="00260423" w:rsidRPr="000634A4" w:rsidRDefault="00260423" w:rsidP="00260423">
      <w:pPr>
        <w:pStyle w:val="NormalWeb"/>
        <w:spacing w:before="0" w:beforeAutospacing="0" w:after="0" w:afterAutospacing="0"/>
        <w:ind w:firstLine="720"/>
        <w:jc w:val="both"/>
        <w:rPr>
          <w:sz w:val="22"/>
          <w:szCs w:val="22"/>
        </w:rPr>
      </w:pPr>
    </w:p>
    <w:p w14:paraId="4223918B" w14:textId="77777777" w:rsidR="00260423" w:rsidRPr="000634A4" w:rsidRDefault="00260423" w:rsidP="00260423">
      <w:pPr>
        <w:pStyle w:val="NormalWeb"/>
        <w:spacing w:before="0" w:beforeAutospacing="0" w:after="0" w:afterAutospacing="0"/>
        <w:ind w:firstLine="720"/>
        <w:jc w:val="both"/>
        <w:rPr>
          <w:sz w:val="22"/>
          <w:szCs w:val="22"/>
        </w:rPr>
      </w:pPr>
      <w:r w:rsidRPr="000634A4">
        <w:rPr>
          <w:sz w:val="22"/>
          <w:szCs w:val="22"/>
        </w:rPr>
        <w:t>The Company’s operations are presently classified and reported in three reporting segments: Digital Data Solutions (DDS), Synodex and Agility.</w:t>
      </w:r>
    </w:p>
    <w:p w14:paraId="7997AD34" w14:textId="4F4DBED6" w:rsidR="00260423" w:rsidRDefault="00260423" w:rsidP="001739FF">
      <w:pPr>
        <w:tabs>
          <w:tab w:val="left" w:pos="-720"/>
        </w:tabs>
        <w:suppressAutoHyphens/>
        <w:spacing w:line="240" w:lineRule="atLeast"/>
        <w:ind w:right="180"/>
        <w:jc w:val="both"/>
        <w:rPr>
          <w:b/>
          <w:bCs/>
          <w:spacing w:val="-2"/>
          <w:sz w:val="22"/>
          <w:szCs w:val="22"/>
        </w:rPr>
      </w:pPr>
    </w:p>
    <w:p w14:paraId="24DCB8F7" w14:textId="66ECAE68" w:rsidR="00314A3C" w:rsidRPr="000634A4" w:rsidRDefault="00314A3C" w:rsidP="00314A3C">
      <w:pPr>
        <w:ind w:right="18"/>
        <w:jc w:val="both"/>
        <w:rPr>
          <w:b/>
          <w:i/>
          <w:iCs/>
          <w:spacing w:val="-2"/>
          <w:sz w:val="22"/>
          <w:szCs w:val="22"/>
        </w:rPr>
      </w:pPr>
      <w:bookmarkStart w:id="46" w:name="_Hlk96034590"/>
      <w:bookmarkEnd w:id="44"/>
      <w:bookmarkEnd w:id="45"/>
      <w:r w:rsidRPr="000634A4">
        <w:rPr>
          <w:b/>
          <w:i/>
          <w:iCs/>
          <w:spacing w:val="-2"/>
          <w:sz w:val="22"/>
          <w:szCs w:val="22"/>
        </w:rPr>
        <w:t>Critical Accountin</w:t>
      </w:r>
      <w:r w:rsidR="003D1EE9" w:rsidRPr="000634A4">
        <w:rPr>
          <w:b/>
          <w:i/>
          <w:iCs/>
          <w:spacing w:val="-2"/>
          <w:sz w:val="22"/>
          <w:szCs w:val="22"/>
        </w:rPr>
        <w:t>g Policies and Estimates</w:t>
      </w:r>
    </w:p>
    <w:p w14:paraId="2696EBC6" w14:textId="77777777" w:rsidR="00314A3C" w:rsidRPr="000634A4" w:rsidRDefault="00314A3C" w:rsidP="006957BA">
      <w:pPr>
        <w:pStyle w:val="NormalWeb"/>
        <w:spacing w:before="0" w:beforeAutospacing="0" w:after="0" w:afterAutospacing="0"/>
        <w:jc w:val="both"/>
        <w:rPr>
          <w:b/>
          <w:sz w:val="22"/>
          <w:szCs w:val="22"/>
        </w:rPr>
      </w:pPr>
    </w:p>
    <w:p w14:paraId="337B61FF" w14:textId="799FFAFD" w:rsidR="009B383D" w:rsidRPr="000634A4" w:rsidRDefault="009B383D" w:rsidP="009B383D">
      <w:pPr>
        <w:pStyle w:val="NormalWeb"/>
        <w:spacing w:before="0" w:beforeAutospacing="0" w:after="0" w:afterAutospacing="0"/>
        <w:ind w:firstLine="720"/>
        <w:jc w:val="both"/>
        <w:rPr>
          <w:spacing w:val="-2"/>
          <w:sz w:val="22"/>
          <w:szCs w:val="22"/>
        </w:rPr>
      </w:pPr>
      <w:r w:rsidRPr="000634A4">
        <w:rPr>
          <w:b/>
          <w:sz w:val="22"/>
          <w:szCs w:val="22"/>
        </w:rPr>
        <w:t xml:space="preserve">Principles of Consolidation </w:t>
      </w:r>
      <w:r w:rsidRPr="000634A4">
        <w:rPr>
          <w:sz w:val="22"/>
          <w:szCs w:val="22"/>
        </w:rPr>
        <w:t xml:space="preserve">- </w:t>
      </w:r>
      <w:r w:rsidRPr="000634A4">
        <w:rPr>
          <w:spacing w:val="-2"/>
          <w:sz w:val="22"/>
          <w:szCs w:val="22"/>
        </w:rPr>
        <w:t>The consolidated financial statements include the accounts of Innodata Inc. and its wholly owned subsidiaries, and docGenix</w:t>
      </w:r>
      <w:r w:rsidR="000519CA" w:rsidRPr="000634A4">
        <w:rPr>
          <w:spacing w:val="-2"/>
          <w:sz w:val="22"/>
          <w:szCs w:val="22"/>
        </w:rPr>
        <w:t>, a</w:t>
      </w:r>
      <w:r w:rsidRPr="000634A4">
        <w:rPr>
          <w:spacing w:val="-2"/>
          <w:sz w:val="22"/>
          <w:szCs w:val="22"/>
        </w:rPr>
        <w:t xml:space="preserve"> limited liability </w:t>
      </w:r>
      <w:r w:rsidR="008D3C14" w:rsidRPr="000634A4">
        <w:rPr>
          <w:spacing w:val="-2"/>
          <w:sz w:val="22"/>
          <w:szCs w:val="22"/>
        </w:rPr>
        <w:t xml:space="preserve">company </w:t>
      </w:r>
      <w:r w:rsidRPr="000634A4">
        <w:rPr>
          <w:spacing w:val="-2"/>
          <w:sz w:val="22"/>
          <w:szCs w:val="22"/>
        </w:rPr>
        <w:t xml:space="preserve">that </w:t>
      </w:r>
      <w:r w:rsidR="00E54F1A" w:rsidRPr="000634A4">
        <w:rPr>
          <w:spacing w:val="-2"/>
          <w:sz w:val="22"/>
          <w:szCs w:val="22"/>
        </w:rPr>
        <w:t xml:space="preserve">is </w:t>
      </w:r>
      <w:r w:rsidRPr="000634A4">
        <w:rPr>
          <w:spacing w:val="-2"/>
          <w:sz w:val="22"/>
          <w:szCs w:val="22"/>
        </w:rPr>
        <w:t xml:space="preserve">majority-owned by the Company. </w:t>
      </w:r>
      <w:r w:rsidR="00FC4C31" w:rsidRPr="000634A4">
        <w:rPr>
          <w:spacing w:val="-2"/>
          <w:sz w:val="22"/>
          <w:szCs w:val="22"/>
        </w:rPr>
        <w:t xml:space="preserve">The non-controlling interests in the docGenix limited liability </w:t>
      </w:r>
      <w:r w:rsidR="00A71170" w:rsidRPr="000634A4">
        <w:rPr>
          <w:spacing w:val="-2"/>
          <w:sz w:val="22"/>
          <w:szCs w:val="22"/>
        </w:rPr>
        <w:t>company </w:t>
      </w:r>
      <w:r w:rsidR="00397F38" w:rsidRPr="000634A4">
        <w:rPr>
          <w:spacing w:val="-2"/>
          <w:sz w:val="22"/>
          <w:szCs w:val="22"/>
        </w:rPr>
        <w:t>ha</w:t>
      </w:r>
      <w:r w:rsidR="00397F38">
        <w:rPr>
          <w:spacing w:val="-2"/>
          <w:sz w:val="22"/>
          <w:szCs w:val="22"/>
        </w:rPr>
        <w:t>ve</w:t>
      </w:r>
      <w:r w:rsidR="00397F38" w:rsidRPr="000634A4">
        <w:rPr>
          <w:spacing w:val="-2"/>
          <w:sz w:val="22"/>
          <w:szCs w:val="22"/>
        </w:rPr>
        <w:t xml:space="preserve"> </w:t>
      </w:r>
      <w:r w:rsidR="00FC4C31" w:rsidRPr="000634A4">
        <w:rPr>
          <w:spacing w:val="-2"/>
          <w:sz w:val="22"/>
          <w:szCs w:val="22"/>
        </w:rPr>
        <w:t>call and put options that can be settled in cash or stock</w:t>
      </w:r>
      <w:r w:rsidR="00DF07D4" w:rsidRPr="000634A4">
        <w:rPr>
          <w:spacing w:val="-2"/>
          <w:sz w:val="22"/>
          <w:szCs w:val="22"/>
        </w:rPr>
        <w:t>. Accordingly</w:t>
      </w:r>
      <w:r w:rsidR="003D10EC" w:rsidRPr="000634A4">
        <w:rPr>
          <w:spacing w:val="-2"/>
          <w:sz w:val="22"/>
          <w:szCs w:val="22"/>
        </w:rPr>
        <w:t xml:space="preserve">, this </w:t>
      </w:r>
      <w:r w:rsidR="00FC4C31" w:rsidRPr="000634A4">
        <w:rPr>
          <w:spacing w:val="-2"/>
          <w:sz w:val="22"/>
          <w:szCs w:val="22"/>
        </w:rPr>
        <w:t>is presented in temporary equity in accordance with Financial Accounting Standards Board (FASB) non-controlling interest guidance.</w:t>
      </w:r>
      <w:r w:rsidRPr="000634A4">
        <w:rPr>
          <w:spacing w:val="-2"/>
          <w:sz w:val="22"/>
          <w:szCs w:val="22"/>
        </w:rPr>
        <w:t xml:space="preserve"> All intercompany transactions and balances have been eliminated in consolidation.</w:t>
      </w:r>
    </w:p>
    <w:bookmarkEnd w:id="46"/>
    <w:p w14:paraId="6A6FACA0" w14:textId="77777777" w:rsidR="009B383D" w:rsidRPr="000634A4" w:rsidRDefault="009B383D" w:rsidP="00A81DCD">
      <w:pPr>
        <w:pStyle w:val="NormalWeb"/>
        <w:spacing w:before="0" w:beforeAutospacing="0" w:after="0" w:afterAutospacing="0"/>
        <w:ind w:firstLine="720"/>
        <w:jc w:val="both"/>
        <w:rPr>
          <w:b/>
          <w:sz w:val="22"/>
          <w:szCs w:val="22"/>
        </w:rPr>
      </w:pPr>
    </w:p>
    <w:p w14:paraId="322A62FA" w14:textId="444C131A" w:rsidR="009D76F6" w:rsidRPr="000634A4" w:rsidRDefault="009D76F6" w:rsidP="009D76F6">
      <w:pPr>
        <w:ind w:right="18" w:firstLine="720"/>
        <w:jc w:val="both"/>
        <w:rPr>
          <w:spacing w:val="-2"/>
          <w:sz w:val="22"/>
          <w:szCs w:val="22"/>
        </w:rPr>
      </w:pPr>
      <w:r w:rsidRPr="000634A4">
        <w:rPr>
          <w:b/>
          <w:spacing w:val="-2"/>
          <w:sz w:val="22"/>
          <w:szCs w:val="22"/>
        </w:rPr>
        <w:t xml:space="preserve">Use of Estimates </w:t>
      </w:r>
      <w:r w:rsidRPr="000634A4">
        <w:rPr>
          <w:spacing w:val="-2"/>
          <w:sz w:val="22"/>
          <w:szCs w:val="22"/>
        </w:rPr>
        <w:t xml:space="preserve">- In preparing </w:t>
      </w:r>
      <w:r w:rsidRPr="000634A4">
        <w:rPr>
          <w:sz w:val="22"/>
          <w:szCs w:val="22"/>
        </w:rPr>
        <w:t xml:space="preserve">consolidated </w:t>
      </w:r>
      <w:r w:rsidRPr="000634A4">
        <w:rPr>
          <w:spacing w:val="-2"/>
          <w:sz w:val="22"/>
          <w:szCs w:val="22"/>
        </w:rPr>
        <w:t xml:space="preserve">financial statements in conformity with U.S. GAAP, management is required to make estimates and assumptions that affect the reported amounts of assets and liabilities, the disclosure of contingent assets and liabilities as of the date of the </w:t>
      </w:r>
      <w:r w:rsidRPr="000634A4">
        <w:rPr>
          <w:sz w:val="22"/>
          <w:szCs w:val="22"/>
        </w:rPr>
        <w:t xml:space="preserve">consolidated </w:t>
      </w:r>
      <w:r w:rsidRPr="000634A4">
        <w:rPr>
          <w:spacing w:val="-2"/>
          <w:sz w:val="22"/>
          <w:szCs w:val="22"/>
        </w:rPr>
        <w:t xml:space="preserve">financial statements, and the reported amounts of revenues and expenses during the reporting period. Management believes that the estimates used in the preparation of the consolidated financial statements are reasonable, and management has made assumptions about the possible effects of the novel coronavirus (“COVID-19”) pandemic on critical and significant accounting estimates. Actual results could differ from those estimates. Significant estimates include those related to the </w:t>
      </w:r>
      <w:r w:rsidRPr="000634A4">
        <w:rPr>
          <w:sz w:val="22"/>
          <w:szCs w:val="22"/>
        </w:rPr>
        <w:t>allowance for doubtful accounts and billing adjustments, useful life of long-lived a</w:t>
      </w:r>
      <w:r w:rsidR="007010D8">
        <w:rPr>
          <w:sz w:val="22"/>
          <w:szCs w:val="22"/>
        </w:rPr>
        <w:t>ssets,</w:t>
      </w:r>
      <w:r w:rsidRPr="000634A4">
        <w:rPr>
          <w:sz w:val="22"/>
          <w:szCs w:val="22"/>
        </w:rPr>
        <w:t xml:space="preserve"> </w:t>
      </w:r>
      <w:r w:rsidRPr="000634A4">
        <w:rPr>
          <w:sz w:val="22"/>
          <w:szCs w:val="22"/>
        </w:rPr>
        <w:lastRenderedPageBreak/>
        <w:t>useful life of intangible assets, impairment of goodwill</w:t>
      </w:r>
      <w:r w:rsidR="003D1EE9" w:rsidRPr="000634A4">
        <w:rPr>
          <w:sz w:val="22"/>
          <w:szCs w:val="22"/>
        </w:rPr>
        <w:t xml:space="preserve"> and intangible assets</w:t>
      </w:r>
      <w:r w:rsidRPr="000634A4">
        <w:rPr>
          <w:sz w:val="22"/>
          <w:szCs w:val="22"/>
        </w:rPr>
        <w:t xml:space="preserve">, valuation of deferred tax assets, valuation of stock-based compensation, </w:t>
      </w:r>
      <w:r w:rsidR="00A7322D" w:rsidRPr="000634A4">
        <w:rPr>
          <w:sz w:val="22"/>
          <w:szCs w:val="22"/>
        </w:rPr>
        <w:t xml:space="preserve">pension benefit plan assumptions, </w:t>
      </w:r>
      <w:r w:rsidRPr="000634A4">
        <w:rPr>
          <w:sz w:val="22"/>
          <w:szCs w:val="22"/>
        </w:rPr>
        <w:t>litigation accruals and estimated accruals for various tax exposures.</w:t>
      </w:r>
    </w:p>
    <w:p w14:paraId="2D9F6E55" w14:textId="399E0E94" w:rsidR="009B383D" w:rsidRPr="000634A4" w:rsidRDefault="009B383D" w:rsidP="00AA18A6">
      <w:pPr>
        <w:ind w:right="18" w:firstLine="720"/>
        <w:jc w:val="both"/>
        <w:rPr>
          <w:b/>
          <w:spacing w:val="-2"/>
          <w:sz w:val="22"/>
          <w:szCs w:val="22"/>
        </w:rPr>
      </w:pPr>
    </w:p>
    <w:p w14:paraId="4064C754" w14:textId="77777777" w:rsidR="003D1EE9" w:rsidRPr="000634A4" w:rsidRDefault="003D1EE9" w:rsidP="003D1EE9">
      <w:pPr>
        <w:ind w:firstLine="720"/>
        <w:jc w:val="both"/>
        <w:rPr>
          <w:i/>
          <w:iCs/>
          <w:sz w:val="22"/>
          <w:szCs w:val="22"/>
        </w:rPr>
      </w:pPr>
      <w:r w:rsidRPr="000634A4">
        <w:rPr>
          <w:b/>
          <w:bCs/>
          <w:spacing w:val="-2"/>
          <w:sz w:val="22"/>
          <w:szCs w:val="22"/>
        </w:rPr>
        <w:t xml:space="preserve">Revenue Recognition </w:t>
      </w:r>
      <w:r w:rsidRPr="000634A4">
        <w:rPr>
          <w:spacing w:val="-2"/>
          <w:sz w:val="22"/>
          <w:szCs w:val="22"/>
        </w:rPr>
        <w:t>- The Company’s r</w:t>
      </w:r>
      <w:r w:rsidRPr="000634A4">
        <w:rPr>
          <w:sz w:val="22"/>
          <w:szCs w:val="22"/>
        </w:rPr>
        <w:t>evenue is recognized when services are rendered or goods are delivered to a customer, in an amount that reflects the consideration that the Company expects to receive in exchange for those services or goods as per the agreement with the customer. In cases where there are agreements with multiple performance obligations, the Company identifies each performance obligation and evaluates whether the performance obligations are distinct within the context of the agreement at the agreement’s inception. Performance obligations that are not distinct at agreement inception are combined. For agreements with distinct performance obligations, the Company allocates the transaction price to each distinct performance obligation proportionately based on the estimated standalone selling price for each performance obligation, if any, and then evaluates how the services are performed for the customer to determine the timing of revenue recognition.</w:t>
      </w:r>
    </w:p>
    <w:p w14:paraId="753FC0F9" w14:textId="77777777" w:rsidR="003D1EE9" w:rsidRPr="000634A4" w:rsidRDefault="003D1EE9" w:rsidP="003D1EE9">
      <w:pPr>
        <w:tabs>
          <w:tab w:val="left" w:pos="-720"/>
        </w:tabs>
        <w:suppressAutoHyphens/>
        <w:spacing w:line="240" w:lineRule="atLeast"/>
        <w:jc w:val="both"/>
        <w:rPr>
          <w:i/>
          <w:iCs/>
          <w:spacing w:val="-2"/>
          <w:sz w:val="22"/>
          <w:szCs w:val="22"/>
        </w:rPr>
      </w:pPr>
    </w:p>
    <w:p w14:paraId="29DAFA08" w14:textId="39300F34" w:rsidR="003D1EE9" w:rsidRPr="000634A4" w:rsidRDefault="003D1EE9" w:rsidP="003D1EE9">
      <w:pPr>
        <w:ind w:firstLine="720"/>
        <w:jc w:val="both"/>
        <w:rPr>
          <w:spacing w:val="-2"/>
          <w:sz w:val="22"/>
          <w:szCs w:val="22"/>
        </w:rPr>
      </w:pPr>
      <w:r w:rsidRPr="000634A4">
        <w:rPr>
          <w:sz w:val="22"/>
          <w:szCs w:val="22"/>
        </w:rPr>
        <w:t xml:space="preserve">For the Digital Data Solutions (DDS) segment, revenue is recognized primarily based on the quantity delivered or resources utilized in the period in which services are performed and performance conditions are satisfied as per the agreement. Revenue from agreements billed on a time-and-materials basis is recognized as services are performed. Revenue from fixed-fee agreements, which </w:t>
      </w:r>
      <w:r w:rsidR="00A5781B" w:rsidRPr="000634A4">
        <w:rPr>
          <w:sz w:val="22"/>
          <w:szCs w:val="22"/>
        </w:rPr>
        <w:t xml:space="preserve">is </w:t>
      </w:r>
      <w:r w:rsidRPr="000634A4">
        <w:rPr>
          <w:sz w:val="22"/>
          <w:szCs w:val="22"/>
        </w:rPr>
        <w:t>not significant to overall revenues, is recognized based on the proportional performance method of accounting, as services are performed, or milestones are achieved.</w:t>
      </w:r>
      <w:r w:rsidRPr="000634A4">
        <w:rPr>
          <w:spacing w:val="-2"/>
          <w:sz w:val="22"/>
          <w:szCs w:val="22"/>
        </w:rPr>
        <w:t xml:space="preserve"> </w:t>
      </w:r>
    </w:p>
    <w:p w14:paraId="50B6DC32" w14:textId="77777777" w:rsidR="003D1EE9" w:rsidRPr="000634A4" w:rsidRDefault="003D1EE9" w:rsidP="003D1EE9">
      <w:pPr>
        <w:ind w:firstLine="720"/>
        <w:jc w:val="both"/>
        <w:rPr>
          <w:spacing w:val="-2"/>
          <w:sz w:val="22"/>
          <w:szCs w:val="22"/>
        </w:rPr>
      </w:pPr>
    </w:p>
    <w:p w14:paraId="122A5B75" w14:textId="77777777" w:rsidR="003D1EE9" w:rsidRPr="000634A4" w:rsidRDefault="003D1EE9" w:rsidP="003D1EE9">
      <w:pPr>
        <w:ind w:firstLine="720"/>
        <w:jc w:val="both"/>
        <w:rPr>
          <w:spacing w:val="-2"/>
          <w:sz w:val="22"/>
          <w:szCs w:val="22"/>
        </w:rPr>
      </w:pPr>
      <w:r w:rsidRPr="000634A4">
        <w:rPr>
          <w:spacing w:val="-2"/>
          <w:sz w:val="22"/>
          <w:szCs w:val="22"/>
        </w:rPr>
        <w:t xml:space="preserve">For the Synodex segment, revenue is recognized primarily based on the quantity delivered in the period in which services are performed and </w:t>
      </w:r>
      <w:r w:rsidRPr="000634A4">
        <w:rPr>
          <w:sz w:val="22"/>
          <w:szCs w:val="22"/>
        </w:rPr>
        <w:t>performance conditions are satisfied</w:t>
      </w:r>
      <w:r w:rsidRPr="000634A4">
        <w:rPr>
          <w:spacing w:val="-2"/>
          <w:sz w:val="22"/>
          <w:szCs w:val="22"/>
        </w:rPr>
        <w:t xml:space="preserve"> as per the agreement. A portion of the Synodex segment revenue is derived from licensing the Company’s functional software and providing access to the Company’s hosted software platform. Revenue from such services is recognized monthly when all parties to the agreement have agreed to the agreement; each party’s rights are identifiable; the payment terms are identifiable; the agreement has commercial substance; access to the service is provided to the end user; and collection is probable.</w:t>
      </w:r>
    </w:p>
    <w:p w14:paraId="7E03638D" w14:textId="77777777" w:rsidR="003D1EE9" w:rsidRPr="000634A4" w:rsidRDefault="003D1EE9" w:rsidP="003D1EE9">
      <w:pPr>
        <w:tabs>
          <w:tab w:val="left" w:pos="-720"/>
        </w:tabs>
        <w:suppressAutoHyphens/>
        <w:spacing w:line="240" w:lineRule="atLeast"/>
        <w:ind w:right="18"/>
        <w:jc w:val="both"/>
        <w:rPr>
          <w:sz w:val="22"/>
          <w:szCs w:val="22"/>
        </w:rPr>
      </w:pPr>
    </w:p>
    <w:p w14:paraId="630F266F" w14:textId="77777777" w:rsidR="003D1EE9" w:rsidRPr="000634A4" w:rsidRDefault="003D1EE9" w:rsidP="003D1EE9">
      <w:pPr>
        <w:tabs>
          <w:tab w:val="left" w:pos="-720"/>
        </w:tabs>
        <w:suppressAutoHyphens/>
        <w:spacing w:line="240" w:lineRule="atLeast"/>
        <w:ind w:firstLine="720"/>
        <w:jc w:val="both"/>
        <w:rPr>
          <w:spacing w:val="-2"/>
          <w:sz w:val="22"/>
          <w:szCs w:val="22"/>
        </w:rPr>
      </w:pPr>
      <w:r w:rsidRPr="000634A4">
        <w:rPr>
          <w:sz w:val="22"/>
          <w:szCs w:val="22"/>
        </w:rPr>
        <w:t>The Agility segment derives its revenue primarily from subscription arrangements and provision of enriched media analysis services. It also derives revenue as a reseller of corporate communication solutions. Revenue from subscriptions is recognized monthly when access to the service is provided to the end user; all parties to the agreement have agreed to the agreement; each party’s rights are identifiable; the payment terms are identifiable; the agreement has commercial substance; and collection is probable. Revenue from enriched media analysis services is recognized when the services are performed, and performance conditions are satisfied. Revenue from the reseller agreements is recognized at the gross amount received for the goods in accordance with the Company functioning as a principal due to the Company meeting the following criteria: the Company acts as the primary obligor in the sales transaction; assumes the credit risk; sets the price; can select suppliers; and is involved in the execution of the services, including after sales service.</w:t>
      </w:r>
    </w:p>
    <w:p w14:paraId="5742673C" w14:textId="77777777" w:rsidR="003D1EE9" w:rsidRPr="000634A4" w:rsidRDefault="003D1EE9" w:rsidP="003D1EE9">
      <w:pPr>
        <w:rPr>
          <w:sz w:val="22"/>
          <w:szCs w:val="22"/>
        </w:rPr>
      </w:pPr>
    </w:p>
    <w:p w14:paraId="297F4CC1" w14:textId="77777777" w:rsidR="003D1EE9" w:rsidRPr="000634A4" w:rsidRDefault="003D1EE9" w:rsidP="003D1EE9">
      <w:pPr>
        <w:tabs>
          <w:tab w:val="left" w:pos="-720"/>
        </w:tabs>
        <w:suppressAutoHyphens/>
        <w:spacing w:line="240" w:lineRule="atLeast"/>
        <w:ind w:firstLine="720"/>
        <w:jc w:val="both"/>
        <w:rPr>
          <w:sz w:val="22"/>
          <w:szCs w:val="22"/>
        </w:rPr>
      </w:pPr>
      <w:r w:rsidRPr="000634A4">
        <w:rPr>
          <w:sz w:val="22"/>
          <w:szCs w:val="22"/>
        </w:rPr>
        <w:t>Revenue includes reimbursement of out-of-pocket expenses, with the corresponding out-of-pocket expenses included in direct operating costs.</w:t>
      </w:r>
    </w:p>
    <w:p w14:paraId="13B0476E" w14:textId="77777777" w:rsidR="003D1EE9" w:rsidRPr="000634A4" w:rsidRDefault="003D1EE9" w:rsidP="003D1EE9">
      <w:pPr>
        <w:tabs>
          <w:tab w:val="left" w:pos="-720"/>
        </w:tabs>
        <w:suppressAutoHyphens/>
        <w:spacing w:line="240" w:lineRule="atLeast"/>
        <w:ind w:firstLine="720"/>
        <w:jc w:val="both"/>
        <w:rPr>
          <w:sz w:val="22"/>
          <w:szCs w:val="22"/>
        </w:rPr>
      </w:pPr>
    </w:p>
    <w:p w14:paraId="6CB10D17" w14:textId="6B7C50C4" w:rsidR="003D1EE9" w:rsidRPr="000634A4" w:rsidRDefault="003D1EE9" w:rsidP="003D1EE9">
      <w:pPr>
        <w:ind w:right="18" w:firstLine="720"/>
        <w:jc w:val="both"/>
        <w:rPr>
          <w:spacing w:val="-2"/>
          <w:sz w:val="22"/>
          <w:szCs w:val="22"/>
        </w:rPr>
      </w:pPr>
      <w:r w:rsidRPr="000634A4">
        <w:rPr>
          <w:spacing w:val="-2"/>
          <w:sz w:val="22"/>
          <w:szCs w:val="22"/>
        </w:rPr>
        <w:t xml:space="preserve">Revenue associated with the services provided in one period and billed in a subsequent period is commonly referred to as unbilled revenues and </w:t>
      </w:r>
      <w:r w:rsidR="00A5781B" w:rsidRPr="000634A4">
        <w:rPr>
          <w:spacing w:val="-2"/>
          <w:sz w:val="22"/>
          <w:szCs w:val="22"/>
        </w:rPr>
        <w:t xml:space="preserve">is </w:t>
      </w:r>
      <w:r w:rsidRPr="000634A4">
        <w:rPr>
          <w:spacing w:val="-2"/>
          <w:sz w:val="22"/>
          <w:szCs w:val="22"/>
        </w:rPr>
        <w:t>included under Accounts receivable.</w:t>
      </w:r>
    </w:p>
    <w:p w14:paraId="5F502C28" w14:textId="77777777" w:rsidR="003D1EE9" w:rsidRPr="000634A4" w:rsidRDefault="003D1EE9" w:rsidP="003D1EE9">
      <w:pPr>
        <w:tabs>
          <w:tab w:val="left" w:pos="-720"/>
        </w:tabs>
        <w:suppressAutoHyphens/>
        <w:spacing w:line="240" w:lineRule="atLeast"/>
        <w:ind w:firstLine="720"/>
        <w:jc w:val="both"/>
        <w:rPr>
          <w:b/>
          <w:bCs/>
          <w:spacing w:val="-2"/>
          <w:sz w:val="22"/>
          <w:szCs w:val="22"/>
        </w:rPr>
      </w:pPr>
      <w:r w:rsidRPr="000634A4">
        <w:rPr>
          <w:spacing w:val="-2"/>
          <w:sz w:val="22"/>
          <w:szCs w:val="22"/>
        </w:rPr>
        <w:tab/>
      </w:r>
    </w:p>
    <w:p w14:paraId="21BADDAA" w14:textId="69F51059" w:rsidR="003D1EE9" w:rsidRPr="000634A4" w:rsidRDefault="003D1EE9" w:rsidP="003D1EE9">
      <w:pPr>
        <w:ind w:firstLine="720"/>
        <w:jc w:val="both"/>
        <w:rPr>
          <w:sz w:val="22"/>
          <w:szCs w:val="22"/>
        </w:rPr>
      </w:pPr>
      <w:r w:rsidRPr="000634A4">
        <w:rPr>
          <w:sz w:val="22"/>
          <w:szCs w:val="22"/>
        </w:rPr>
        <w:t>The Company considers U.S. GAAP criteria for determining whether to report gross revenue as a principal versus net revenue as an agent. The Company evaluates whether it is in control of the services before the same are transferred to the customer to assess whether it is principal or agent in the arrangement.</w:t>
      </w:r>
    </w:p>
    <w:p w14:paraId="18D68226" w14:textId="77777777" w:rsidR="003D1EE9" w:rsidRPr="000634A4" w:rsidRDefault="003D1EE9" w:rsidP="003D1EE9">
      <w:pPr>
        <w:tabs>
          <w:tab w:val="left" w:pos="-720"/>
        </w:tabs>
        <w:suppressAutoHyphens/>
        <w:spacing w:line="240" w:lineRule="atLeast"/>
        <w:jc w:val="both"/>
        <w:rPr>
          <w:spacing w:val="-2"/>
          <w:sz w:val="22"/>
          <w:szCs w:val="22"/>
        </w:rPr>
      </w:pPr>
    </w:p>
    <w:p w14:paraId="784BB8E7" w14:textId="77777777" w:rsidR="003D1EE9" w:rsidRPr="000634A4" w:rsidRDefault="003D1EE9" w:rsidP="003D1EE9">
      <w:pPr>
        <w:ind w:right="18" w:firstLine="720"/>
        <w:jc w:val="both"/>
        <w:rPr>
          <w:spacing w:val="-2"/>
          <w:sz w:val="22"/>
          <w:szCs w:val="22"/>
        </w:rPr>
      </w:pPr>
      <w:r w:rsidRPr="000634A4">
        <w:rPr>
          <w:spacing w:val="-2"/>
          <w:sz w:val="22"/>
          <w:szCs w:val="22"/>
        </w:rPr>
        <w:lastRenderedPageBreak/>
        <w:t xml:space="preserve">Contract acquisition costs, which are included in prepaid expenses and other current assets, are amortized over the term of a subscription agreement or contract that normally has a duration of 12 months or less. The Company reviews these prepaid acquisition costs on a periodic basis to determine the need to adjust the carrying values for early-terminated contracts. </w:t>
      </w:r>
    </w:p>
    <w:p w14:paraId="6CA38140" w14:textId="77777777" w:rsidR="009B383D" w:rsidRPr="000634A4" w:rsidRDefault="009B383D" w:rsidP="009B383D">
      <w:pPr>
        <w:ind w:right="18" w:firstLine="720"/>
        <w:jc w:val="both"/>
        <w:rPr>
          <w:b/>
          <w:spacing w:val="-2"/>
          <w:sz w:val="22"/>
          <w:szCs w:val="22"/>
        </w:rPr>
      </w:pPr>
    </w:p>
    <w:p w14:paraId="6FA609CA" w14:textId="0C75FECF" w:rsidR="00F42278" w:rsidRPr="000634A4" w:rsidRDefault="003D1EE9" w:rsidP="00312E4B">
      <w:pPr>
        <w:tabs>
          <w:tab w:val="left" w:pos="-720"/>
        </w:tabs>
        <w:suppressAutoHyphens/>
        <w:spacing w:line="240" w:lineRule="atLeast"/>
        <w:ind w:firstLine="720"/>
        <w:jc w:val="both"/>
        <w:rPr>
          <w:sz w:val="22"/>
          <w:szCs w:val="22"/>
        </w:rPr>
      </w:pPr>
      <w:r w:rsidRPr="000634A4">
        <w:rPr>
          <w:b/>
          <w:bCs/>
          <w:spacing w:val="-2"/>
          <w:sz w:val="22"/>
          <w:szCs w:val="22"/>
        </w:rPr>
        <w:t xml:space="preserve">Foreign Currency Translation </w:t>
      </w:r>
      <w:r w:rsidRPr="000634A4">
        <w:rPr>
          <w:spacing w:val="-2"/>
          <w:sz w:val="22"/>
          <w:szCs w:val="22"/>
        </w:rPr>
        <w:t xml:space="preserve">- The functional currency of the Company’s </w:t>
      </w:r>
      <w:r w:rsidR="00D57A16" w:rsidRPr="000634A4">
        <w:rPr>
          <w:spacing w:val="-2"/>
          <w:sz w:val="22"/>
          <w:szCs w:val="22"/>
        </w:rPr>
        <w:t xml:space="preserve">subsidiaries </w:t>
      </w:r>
      <w:r w:rsidRPr="000634A4">
        <w:rPr>
          <w:spacing w:val="-2"/>
          <w:sz w:val="22"/>
          <w:szCs w:val="22"/>
        </w:rPr>
        <w:t>in the Philippines, India, Sri Lanka, Israel, Hong Kong and Canada (other than the Agility subsidiary) is the U.S. dollar. Transactions denominated in Philippine pesos, Indian and Sri Lankan rupees, Israeli shekels</w:t>
      </w:r>
      <w:r w:rsidR="002738AD">
        <w:rPr>
          <w:spacing w:val="-2"/>
          <w:sz w:val="22"/>
          <w:szCs w:val="22"/>
        </w:rPr>
        <w:t>,</w:t>
      </w:r>
      <w:r w:rsidRPr="000634A4">
        <w:rPr>
          <w:spacing w:val="-2"/>
          <w:sz w:val="22"/>
          <w:szCs w:val="22"/>
        </w:rPr>
        <w:t xml:space="preserve"> </w:t>
      </w:r>
      <w:r w:rsidR="00612FF1">
        <w:rPr>
          <w:spacing w:val="-2"/>
          <w:sz w:val="22"/>
          <w:szCs w:val="22"/>
        </w:rPr>
        <w:t xml:space="preserve">and </w:t>
      </w:r>
      <w:r w:rsidRPr="000634A4">
        <w:rPr>
          <w:spacing w:val="-2"/>
          <w:sz w:val="22"/>
          <w:szCs w:val="22"/>
        </w:rPr>
        <w:t xml:space="preserve">Hong Kong </w:t>
      </w:r>
      <w:r w:rsidR="00C83FE1">
        <w:rPr>
          <w:spacing w:val="-2"/>
          <w:sz w:val="22"/>
          <w:szCs w:val="22"/>
        </w:rPr>
        <w:t xml:space="preserve">and Canadian </w:t>
      </w:r>
      <w:r w:rsidRPr="000634A4">
        <w:rPr>
          <w:spacing w:val="-2"/>
          <w:sz w:val="22"/>
          <w:szCs w:val="22"/>
        </w:rPr>
        <w:t xml:space="preserve">dollars are translated to U.S. dollars at rates which approximate those in effect on the transaction dates. Monetary assets and all liabilities denominated in foreign currencies on </w:t>
      </w:r>
      <w:r w:rsidR="00AC37AF" w:rsidRPr="000634A4">
        <w:rPr>
          <w:spacing w:val="-2"/>
          <w:sz w:val="22"/>
          <w:szCs w:val="22"/>
        </w:rPr>
        <w:t>December 31</w:t>
      </w:r>
      <w:r w:rsidRPr="000634A4">
        <w:rPr>
          <w:spacing w:val="-2"/>
          <w:sz w:val="22"/>
          <w:szCs w:val="22"/>
        </w:rPr>
        <w:t xml:space="preserve">, 2022 and December 31, 2021 are translated at the exchange rate in effect as of those dates. Non-monetary assets and stockholders’ equity are translated at the appropriate historical rates. </w:t>
      </w:r>
      <w:r w:rsidR="00F42278" w:rsidRPr="000634A4">
        <w:rPr>
          <w:spacing w:val="-2"/>
          <w:sz w:val="22"/>
          <w:szCs w:val="22"/>
        </w:rPr>
        <w:t>Included in direct operating costs were foreign exchange gains resulting from such translations of approximately $1.3 million and $0.5 million for the years ended December 31, 2022 and 2021, respectively.</w:t>
      </w:r>
    </w:p>
    <w:p w14:paraId="06264245" w14:textId="77777777" w:rsidR="003D1EE9" w:rsidRPr="000634A4" w:rsidRDefault="003D1EE9" w:rsidP="003D1EE9">
      <w:pPr>
        <w:tabs>
          <w:tab w:val="left" w:pos="-720"/>
        </w:tabs>
        <w:suppressAutoHyphens/>
        <w:spacing w:line="240" w:lineRule="atLeast"/>
        <w:jc w:val="both"/>
        <w:rPr>
          <w:spacing w:val="-2"/>
          <w:sz w:val="22"/>
          <w:szCs w:val="22"/>
        </w:rPr>
      </w:pPr>
    </w:p>
    <w:p w14:paraId="04C90F56" w14:textId="5D8BE328" w:rsidR="003D1EE9" w:rsidRPr="000634A4" w:rsidRDefault="003D1EE9" w:rsidP="003D1EE9">
      <w:pPr>
        <w:tabs>
          <w:tab w:val="left" w:pos="-720"/>
        </w:tabs>
        <w:suppressAutoHyphens/>
        <w:spacing w:line="240" w:lineRule="atLeast"/>
        <w:ind w:firstLine="720"/>
        <w:jc w:val="both"/>
        <w:rPr>
          <w:sz w:val="22"/>
          <w:szCs w:val="22"/>
        </w:rPr>
      </w:pPr>
      <w:r w:rsidRPr="000634A4">
        <w:rPr>
          <w:spacing w:val="-2"/>
          <w:sz w:val="22"/>
          <w:szCs w:val="22"/>
        </w:rPr>
        <w:t>The functional currency for the Company’s</w:t>
      </w:r>
      <w:r w:rsidRPr="000634A4">
        <w:rPr>
          <w:sz w:val="22"/>
          <w:szCs w:val="22"/>
        </w:rPr>
        <w:t xml:space="preserve"> subsidiaries in Germany, the United Kingdom and for the Company’s Agility subsidiary in Canada are the Euro, the Pound Sterling and the Canadian dollar, respectively. The financial statements of these subsidiaries are prepared in these respective currencies. Financial information is translated from the applicable functional currency to the U.S. dollar (the reporting currency) for inclusion in the Company’s consolidated financial statements. Income, expenses, and cash flows are translated at weighted-average exchange rates prevailing during the fiscal period, and assets and liabilities are translated at fiscal period-end exchange rates. Resulting translation adjustments are included as a component of accumulated other comprehensive loss in stockholders’ equity. Foreign exchange transaction gains or losses are included in direct operating costs in the accompanying consolidated statements of operations and comprehensive loss. </w:t>
      </w:r>
    </w:p>
    <w:p w14:paraId="4D58109E" w14:textId="77777777" w:rsidR="00A81DCD" w:rsidRPr="000634A4" w:rsidRDefault="00A81DCD" w:rsidP="00A81DCD">
      <w:pPr>
        <w:tabs>
          <w:tab w:val="left" w:pos="-720"/>
        </w:tabs>
        <w:suppressAutoHyphens/>
        <w:spacing w:line="240" w:lineRule="atLeast"/>
        <w:ind w:firstLine="720"/>
        <w:jc w:val="both"/>
        <w:rPr>
          <w:sz w:val="22"/>
          <w:szCs w:val="22"/>
        </w:rPr>
      </w:pPr>
    </w:p>
    <w:p w14:paraId="5362A61A" w14:textId="1F04D5B4" w:rsidR="009D76F6" w:rsidRPr="00090306" w:rsidRDefault="009D76F6" w:rsidP="00AA031B">
      <w:pPr>
        <w:tabs>
          <w:tab w:val="left" w:pos="-720"/>
        </w:tabs>
        <w:suppressAutoHyphens/>
        <w:spacing w:line="240" w:lineRule="atLeast"/>
        <w:ind w:firstLine="720"/>
        <w:jc w:val="both"/>
        <w:rPr>
          <w:spacing w:val="-2"/>
          <w:sz w:val="22"/>
          <w:szCs w:val="22"/>
        </w:rPr>
      </w:pPr>
      <w:r w:rsidRPr="00090306">
        <w:rPr>
          <w:b/>
          <w:sz w:val="22"/>
          <w:szCs w:val="22"/>
        </w:rPr>
        <w:t xml:space="preserve">Derivative Instruments - </w:t>
      </w:r>
      <w:r w:rsidR="00AA031B" w:rsidRPr="00090306">
        <w:rPr>
          <w:sz w:val="22"/>
          <w:szCs w:val="22"/>
        </w:rPr>
        <w:t xml:space="preserve">The Company accounts for derivative transactions in accordance with the FASB’s Accounting Standards Codification (“ASC”) Topic 825, “Financial Instruments”. </w:t>
      </w:r>
      <w:r w:rsidR="00AA031B" w:rsidRPr="00090306">
        <w:rPr>
          <w:sz w:val="22"/>
          <w:szCs w:val="22"/>
          <w:shd w:val="clear" w:color="auto" w:fill="FFFFFF"/>
        </w:rPr>
        <w:t xml:space="preserve">For derivative instruments that are designated and qualify as cash flow hedges, the entire change in fair value of the hedging instrument is recorded in Other comprehensive income (loss). When the amounts recorded in Other comprehensive income (loss) are reclassified to earnings, they are included </w:t>
      </w:r>
      <w:r w:rsidR="00AA031B" w:rsidRPr="00090306">
        <w:rPr>
          <w:sz w:val="22"/>
          <w:szCs w:val="22"/>
        </w:rPr>
        <w:t xml:space="preserve">as part of Direct operating costs. For derivative instruments that are not designated as hedges, any change in fair value is recorded directly in earnings as part of Direct operating costs. </w:t>
      </w:r>
      <w:r w:rsidR="00090306" w:rsidRPr="002746B0">
        <w:rPr>
          <w:iCs/>
          <w:spacing w:val="-2"/>
          <w:sz w:val="22"/>
          <w:szCs w:val="22"/>
        </w:rPr>
        <w:t>The total notional value of designated outstanding foreign currency forward contracts was $14.2 million and $19.7 million at December 31, 2022 and 2021, respectively.</w:t>
      </w:r>
    </w:p>
    <w:p w14:paraId="14283081" w14:textId="77777777" w:rsidR="00A81DCD" w:rsidRPr="000634A4" w:rsidRDefault="00A81DCD" w:rsidP="00A81DCD">
      <w:pPr>
        <w:tabs>
          <w:tab w:val="left" w:pos="-720"/>
        </w:tabs>
        <w:suppressAutoHyphens/>
        <w:spacing w:line="240" w:lineRule="atLeast"/>
        <w:jc w:val="both"/>
        <w:rPr>
          <w:sz w:val="22"/>
          <w:szCs w:val="22"/>
        </w:rPr>
      </w:pPr>
      <w:r w:rsidRPr="000634A4">
        <w:rPr>
          <w:sz w:val="22"/>
          <w:szCs w:val="22"/>
        </w:rPr>
        <w:t xml:space="preserve"> </w:t>
      </w:r>
    </w:p>
    <w:p w14:paraId="64D97D6F" w14:textId="6C4523B6" w:rsidR="00A81DCD" w:rsidRPr="000634A4" w:rsidRDefault="00A81DCD" w:rsidP="00A81DCD">
      <w:pPr>
        <w:tabs>
          <w:tab w:val="left" w:pos="-720"/>
        </w:tabs>
        <w:suppressAutoHyphens/>
        <w:spacing w:line="240" w:lineRule="atLeast"/>
        <w:ind w:firstLine="720"/>
        <w:jc w:val="both"/>
        <w:rPr>
          <w:spacing w:val="-2"/>
          <w:sz w:val="22"/>
          <w:szCs w:val="22"/>
        </w:rPr>
      </w:pPr>
      <w:r w:rsidRPr="000634A4">
        <w:rPr>
          <w:b/>
          <w:bCs/>
          <w:spacing w:val="-2"/>
          <w:sz w:val="22"/>
          <w:szCs w:val="22"/>
        </w:rPr>
        <w:t xml:space="preserve">Cash Equivalents - </w:t>
      </w:r>
      <w:r w:rsidRPr="000634A4">
        <w:rPr>
          <w:spacing w:val="-2"/>
          <w:sz w:val="22"/>
          <w:szCs w:val="22"/>
        </w:rPr>
        <w:t>For financial statement purposes, the Company considers all highly</w:t>
      </w:r>
      <w:r w:rsidR="00D96828" w:rsidRPr="000634A4">
        <w:rPr>
          <w:spacing w:val="-2"/>
          <w:sz w:val="22"/>
          <w:szCs w:val="22"/>
        </w:rPr>
        <w:t>-</w:t>
      </w:r>
      <w:r w:rsidRPr="000634A4">
        <w:rPr>
          <w:spacing w:val="-2"/>
          <w:sz w:val="22"/>
          <w:szCs w:val="22"/>
        </w:rPr>
        <w:t xml:space="preserve">liquid instruments purchased with an original maturity of three months or less to be cash equivalents. </w:t>
      </w:r>
    </w:p>
    <w:p w14:paraId="5624D8E0" w14:textId="77777777" w:rsidR="00202E68" w:rsidRPr="000634A4" w:rsidRDefault="00202E68" w:rsidP="00A81DCD">
      <w:pPr>
        <w:tabs>
          <w:tab w:val="left" w:pos="-720"/>
        </w:tabs>
        <w:suppressAutoHyphens/>
        <w:spacing w:line="240" w:lineRule="atLeast"/>
        <w:ind w:firstLine="720"/>
        <w:jc w:val="both"/>
        <w:rPr>
          <w:spacing w:val="-2"/>
          <w:sz w:val="22"/>
          <w:szCs w:val="22"/>
        </w:rPr>
      </w:pPr>
    </w:p>
    <w:p w14:paraId="44839E95" w14:textId="72C6DFB9" w:rsidR="00202E68" w:rsidRPr="000634A4" w:rsidRDefault="00202E68" w:rsidP="00A81DCD">
      <w:pPr>
        <w:tabs>
          <w:tab w:val="left" w:pos="-720"/>
        </w:tabs>
        <w:suppressAutoHyphens/>
        <w:spacing w:line="240" w:lineRule="atLeast"/>
        <w:ind w:firstLine="720"/>
        <w:jc w:val="both"/>
        <w:rPr>
          <w:spacing w:val="-2"/>
          <w:sz w:val="22"/>
          <w:szCs w:val="22"/>
        </w:rPr>
      </w:pPr>
      <w:r w:rsidRPr="000634A4">
        <w:rPr>
          <w:b/>
          <w:bCs/>
          <w:spacing w:val="-2"/>
          <w:sz w:val="22"/>
          <w:szCs w:val="22"/>
        </w:rPr>
        <w:t xml:space="preserve">Short term Investments-other </w:t>
      </w:r>
      <w:r w:rsidR="0003072D" w:rsidRPr="000634A4">
        <w:rPr>
          <w:b/>
          <w:bCs/>
          <w:spacing w:val="-2"/>
          <w:sz w:val="22"/>
          <w:szCs w:val="22"/>
        </w:rPr>
        <w:t>–</w:t>
      </w:r>
      <w:r w:rsidRPr="000634A4">
        <w:rPr>
          <w:spacing w:val="-2"/>
          <w:sz w:val="22"/>
          <w:szCs w:val="22"/>
        </w:rPr>
        <w:t xml:space="preserve"> </w:t>
      </w:r>
      <w:r w:rsidR="0003072D" w:rsidRPr="000634A4">
        <w:rPr>
          <w:spacing w:val="-2"/>
          <w:sz w:val="22"/>
          <w:szCs w:val="22"/>
        </w:rPr>
        <w:t xml:space="preserve">For financial statement purposes, the Company considers </w:t>
      </w:r>
      <w:r w:rsidRPr="000634A4">
        <w:rPr>
          <w:spacing w:val="-2"/>
          <w:sz w:val="22"/>
          <w:szCs w:val="22"/>
        </w:rPr>
        <w:t>investments made in time deposits and treasury bills having</w:t>
      </w:r>
      <w:r w:rsidR="00337A15" w:rsidRPr="000634A4">
        <w:rPr>
          <w:spacing w:val="-2"/>
          <w:sz w:val="22"/>
          <w:szCs w:val="22"/>
        </w:rPr>
        <w:t xml:space="preserve"> an</w:t>
      </w:r>
      <w:r w:rsidRPr="000634A4">
        <w:rPr>
          <w:spacing w:val="-2"/>
          <w:sz w:val="22"/>
          <w:szCs w:val="22"/>
        </w:rPr>
        <w:t xml:space="preserve"> original maturity </w:t>
      </w:r>
      <w:r w:rsidR="00337A15" w:rsidRPr="000634A4">
        <w:rPr>
          <w:spacing w:val="-2"/>
          <w:sz w:val="22"/>
          <w:szCs w:val="22"/>
        </w:rPr>
        <w:t xml:space="preserve">of </w:t>
      </w:r>
      <w:r w:rsidRPr="000634A4">
        <w:rPr>
          <w:spacing w:val="-2"/>
          <w:sz w:val="22"/>
          <w:szCs w:val="22"/>
        </w:rPr>
        <w:t xml:space="preserve">more than </w:t>
      </w:r>
      <w:r w:rsidR="004712CD" w:rsidRPr="000634A4">
        <w:rPr>
          <w:spacing w:val="-2"/>
          <w:sz w:val="22"/>
          <w:szCs w:val="22"/>
        </w:rPr>
        <w:t xml:space="preserve">three </w:t>
      </w:r>
      <w:r w:rsidRPr="000634A4">
        <w:rPr>
          <w:spacing w:val="-2"/>
          <w:sz w:val="22"/>
          <w:szCs w:val="22"/>
        </w:rPr>
        <w:t xml:space="preserve">months </w:t>
      </w:r>
      <w:r w:rsidR="00D82627" w:rsidRPr="000634A4">
        <w:rPr>
          <w:spacing w:val="-2"/>
          <w:sz w:val="22"/>
          <w:szCs w:val="22"/>
        </w:rPr>
        <w:t xml:space="preserve">but </w:t>
      </w:r>
      <w:r w:rsidRPr="000634A4">
        <w:rPr>
          <w:spacing w:val="-2"/>
          <w:sz w:val="22"/>
          <w:szCs w:val="22"/>
        </w:rPr>
        <w:t xml:space="preserve">less than </w:t>
      </w:r>
      <w:r w:rsidR="004712CD" w:rsidRPr="000634A4">
        <w:rPr>
          <w:spacing w:val="-2"/>
          <w:sz w:val="22"/>
          <w:szCs w:val="22"/>
        </w:rPr>
        <w:t xml:space="preserve">one year </w:t>
      </w:r>
      <w:r w:rsidR="00592E67" w:rsidRPr="000634A4">
        <w:rPr>
          <w:spacing w:val="-2"/>
          <w:sz w:val="22"/>
          <w:szCs w:val="22"/>
        </w:rPr>
        <w:t>under short term investments.</w:t>
      </w:r>
    </w:p>
    <w:p w14:paraId="06ADEA7D" w14:textId="77777777" w:rsidR="00A81DCD" w:rsidRPr="000634A4" w:rsidRDefault="00A81DCD" w:rsidP="00A81DCD">
      <w:pPr>
        <w:tabs>
          <w:tab w:val="left" w:pos="-720"/>
        </w:tabs>
        <w:suppressAutoHyphens/>
        <w:spacing w:line="240" w:lineRule="atLeast"/>
        <w:jc w:val="both"/>
        <w:rPr>
          <w:spacing w:val="-2"/>
          <w:sz w:val="22"/>
          <w:szCs w:val="22"/>
        </w:rPr>
      </w:pPr>
    </w:p>
    <w:p w14:paraId="590964BF" w14:textId="1D968963" w:rsidR="00A81DCD" w:rsidRPr="000634A4" w:rsidRDefault="00A81DCD" w:rsidP="00A81DCD">
      <w:pPr>
        <w:tabs>
          <w:tab w:val="left" w:pos="-720"/>
        </w:tabs>
        <w:suppressAutoHyphens/>
        <w:spacing w:line="240" w:lineRule="atLeast"/>
        <w:ind w:firstLine="720"/>
        <w:jc w:val="both"/>
        <w:rPr>
          <w:spacing w:val="-2"/>
          <w:sz w:val="22"/>
          <w:szCs w:val="22"/>
        </w:rPr>
      </w:pPr>
      <w:r w:rsidRPr="000634A4">
        <w:rPr>
          <w:b/>
          <w:bCs/>
          <w:spacing w:val="-2"/>
          <w:sz w:val="22"/>
          <w:szCs w:val="22"/>
        </w:rPr>
        <w:t xml:space="preserve">Property and Equipment - </w:t>
      </w:r>
      <w:r w:rsidRPr="000634A4">
        <w:rPr>
          <w:spacing w:val="-2"/>
          <w:sz w:val="22"/>
          <w:szCs w:val="22"/>
        </w:rPr>
        <w:t xml:space="preserve">Property and equipment are stated at cost and are depreciated on the straight-line method over the estimated useful lives of the related assets, which is generally two to </w:t>
      </w:r>
      <w:r w:rsidR="008B0BC1" w:rsidRPr="000634A4">
        <w:rPr>
          <w:spacing w:val="-2"/>
          <w:sz w:val="22"/>
          <w:szCs w:val="22"/>
        </w:rPr>
        <w:t>ten</w:t>
      </w:r>
      <w:r w:rsidRPr="000634A4">
        <w:rPr>
          <w:spacing w:val="-2"/>
          <w:sz w:val="22"/>
          <w:szCs w:val="22"/>
        </w:rPr>
        <w:t xml:space="preserve"> years.  Leasehold improvements are amortized on a straight-line basis over the shorter of their estimated useful lives or the </w:t>
      </w:r>
      <w:r w:rsidR="00273F10" w:rsidRPr="000634A4">
        <w:rPr>
          <w:spacing w:val="-2"/>
          <w:sz w:val="22"/>
          <w:szCs w:val="22"/>
        </w:rPr>
        <w:t>terms</w:t>
      </w:r>
      <w:r w:rsidRPr="000634A4">
        <w:rPr>
          <w:spacing w:val="-2"/>
          <w:sz w:val="22"/>
          <w:szCs w:val="22"/>
        </w:rPr>
        <w:t xml:space="preserve"> of the leases. Certain assets under capital leases are amortized over the lives of the respective leases or the estimated useful lives of the assets, whichever is shorter. </w:t>
      </w:r>
    </w:p>
    <w:p w14:paraId="586ADB16" w14:textId="480AA75C" w:rsidR="00A81DCD" w:rsidRPr="000634A4" w:rsidRDefault="00A81DCD" w:rsidP="00A81DCD">
      <w:pPr>
        <w:tabs>
          <w:tab w:val="left" w:pos="-720"/>
        </w:tabs>
        <w:suppressAutoHyphens/>
        <w:spacing w:line="240" w:lineRule="atLeast"/>
        <w:ind w:right="180"/>
        <w:jc w:val="both"/>
        <w:rPr>
          <w:spacing w:val="-2"/>
          <w:sz w:val="22"/>
          <w:szCs w:val="22"/>
        </w:rPr>
      </w:pPr>
    </w:p>
    <w:p w14:paraId="13A3C2EB" w14:textId="43AE3409" w:rsidR="004E5088" w:rsidRPr="000634A4" w:rsidRDefault="004E5088" w:rsidP="0043141D">
      <w:pPr>
        <w:spacing w:line="240" w:lineRule="atLeast"/>
        <w:ind w:firstLine="720"/>
        <w:jc w:val="both"/>
        <w:rPr>
          <w:spacing w:val="-2"/>
          <w:sz w:val="22"/>
          <w:szCs w:val="22"/>
        </w:rPr>
      </w:pPr>
      <w:r w:rsidRPr="000634A4">
        <w:rPr>
          <w:b/>
          <w:bCs/>
          <w:spacing w:val="-2"/>
          <w:sz w:val="22"/>
          <w:szCs w:val="22"/>
        </w:rPr>
        <w:t xml:space="preserve">Capitalized </w:t>
      </w:r>
      <w:r w:rsidR="009D1EBD" w:rsidRPr="000634A4">
        <w:rPr>
          <w:b/>
          <w:bCs/>
          <w:spacing w:val="-2"/>
          <w:sz w:val="22"/>
          <w:szCs w:val="22"/>
        </w:rPr>
        <w:t xml:space="preserve">Developed </w:t>
      </w:r>
      <w:r w:rsidRPr="000634A4">
        <w:rPr>
          <w:b/>
          <w:bCs/>
          <w:spacing w:val="-2"/>
          <w:sz w:val="22"/>
          <w:szCs w:val="22"/>
        </w:rPr>
        <w:t xml:space="preserve">Software </w:t>
      </w:r>
      <w:r w:rsidRPr="000634A4">
        <w:rPr>
          <w:spacing w:val="-2"/>
          <w:sz w:val="22"/>
          <w:szCs w:val="22"/>
        </w:rPr>
        <w:t xml:space="preserve">- </w:t>
      </w:r>
      <w:r w:rsidR="008D6C73" w:rsidRPr="000634A4">
        <w:rPr>
          <w:spacing w:val="-2"/>
          <w:sz w:val="22"/>
          <w:szCs w:val="22"/>
        </w:rPr>
        <w:t xml:space="preserve">The </w:t>
      </w:r>
      <w:r w:rsidRPr="000634A4">
        <w:rPr>
          <w:spacing w:val="-2"/>
          <w:sz w:val="22"/>
          <w:szCs w:val="22"/>
        </w:rPr>
        <w:t xml:space="preserve">Company incurs development costs related to </w:t>
      </w:r>
      <w:r w:rsidR="0091714A" w:rsidRPr="000634A4">
        <w:rPr>
          <w:spacing w:val="-2"/>
          <w:sz w:val="22"/>
          <w:szCs w:val="22"/>
        </w:rPr>
        <w:t xml:space="preserve">software it develops for </w:t>
      </w:r>
      <w:r w:rsidRPr="000634A4">
        <w:rPr>
          <w:spacing w:val="-2"/>
          <w:sz w:val="22"/>
          <w:szCs w:val="22"/>
        </w:rPr>
        <w:t xml:space="preserve">its internal use. Qualifying costs incurred during the application development stage are capitalized. These costs primarily consist of internal labor and third-party development costs and are amortized using the straight-line method over the estimated useful life of the </w:t>
      </w:r>
      <w:r w:rsidR="00BC6D2B" w:rsidRPr="000634A4">
        <w:rPr>
          <w:spacing w:val="-2"/>
          <w:sz w:val="22"/>
          <w:szCs w:val="22"/>
        </w:rPr>
        <w:t xml:space="preserve">capitalized developed </w:t>
      </w:r>
      <w:r w:rsidRPr="000634A4">
        <w:rPr>
          <w:spacing w:val="-2"/>
          <w:sz w:val="22"/>
          <w:szCs w:val="22"/>
        </w:rPr>
        <w:t xml:space="preserve">software, which generally ranges </w:t>
      </w:r>
      <w:r w:rsidR="002A0200" w:rsidRPr="000634A4">
        <w:rPr>
          <w:spacing w:val="-2"/>
          <w:sz w:val="22"/>
          <w:szCs w:val="22"/>
        </w:rPr>
        <w:t xml:space="preserve">from </w:t>
      </w:r>
      <w:r w:rsidRPr="000634A4">
        <w:rPr>
          <w:spacing w:val="-2"/>
          <w:sz w:val="22"/>
          <w:szCs w:val="22"/>
        </w:rPr>
        <w:t xml:space="preserve">three </w:t>
      </w:r>
      <w:r w:rsidR="008B753D">
        <w:rPr>
          <w:spacing w:val="-2"/>
          <w:sz w:val="22"/>
          <w:szCs w:val="22"/>
        </w:rPr>
        <w:t>to</w:t>
      </w:r>
      <w:r w:rsidR="008B753D" w:rsidRPr="000634A4">
        <w:rPr>
          <w:spacing w:val="-2"/>
          <w:sz w:val="22"/>
          <w:szCs w:val="22"/>
        </w:rPr>
        <w:t xml:space="preserve"> </w:t>
      </w:r>
      <w:r w:rsidR="00F316A8" w:rsidRPr="000634A4">
        <w:rPr>
          <w:spacing w:val="-2"/>
          <w:sz w:val="22"/>
          <w:szCs w:val="22"/>
        </w:rPr>
        <w:t>ten</w:t>
      </w:r>
      <w:r w:rsidRPr="000634A4">
        <w:rPr>
          <w:spacing w:val="-2"/>
          <w:sz w:val="22"/>
          <w:szCs w:val="22"/>
        </w:rPr>
        <w:t xml:space="preserve"> years. All other research and maintenance costs are expensed as incurred. Capitalized</w:t>
      </w:r>
      <w:r w:rsidR="009D1EBD" w:rsidRPr="000634A4">
        <w:rPr>
          <w:spacing w:val="-2"/>
          <w:sz w:val="22"/>
          <w:szCs w:val="22"/>
        </w:rPr>
        <w:t xml:space="preserve"> developed</w:t>
      </w:r>
      <w:r w:rsidRPr="000634A4">
        <w:rPr>
          <w:spacing w:val="-2"/>
          <w:sz w:val="22"/>
          <w:szCs w:val="22"/>
        </w:rPr>
        <w:t xml:space="preserve"> </w:t>
      </w:r>
      <w:r w:rsidRPr="000634A4">
        <w:rPr>
          <w:spacing w:val="-2"/>
          <w:sz w:val="22"/>
          <w:szCs w:val="22"/>
        </w:rPr>
        <w:lastRenderedPageBreak/>
        <w:t>software</w:t>
      </w:r>
      <w:r w:rsidR="009D1EBD" w:rsidRPr="000634A4">
        <w:rPr>
          <w:spacing w:val="-2"/>
          <w:sz w:val="22"/>
          <w:szCs w:val="22"/>
        </w:rPr>
        <w:t xml:space="preserve"> </w:t>
      </w:r>
      <w:r w:rsidRPr="000634A4">
        <w:rPr>
          <w:spacing w:val="-2"/>
          <w:sz w:val="22"/>
          <w:szCs w:val="22"/>
        </w:rPr>
        <w:t xml:space="preserve">in progress as of December 31, </w:t>
      </w:r>
      <w:r w:rsidR="00BC6D2B" w:rsidRPr="000634A4">
        <w:rPr>
          <w:spacing w:val="-2"/>
          <w:sz w:val="22"/>
          <w:szCs w:val="22"/>
        </w:rPr>
        <w:t xml:space="preserve">2022 </w:t>
      </w:r>
      <w:r w:rsidRPr="000634A4">
        <w:rPr>
          <w:spacing w:val="-2"/>
          <w:sz w:val="22"/>
          <w:szCs w:val="22"/>
        </w:rPr>
        <w:t xml:space="preserve">and </w:t>
      </w:r>
      <w:r w:rsidR="00BC6D2B" w:rsidRPr="000634A4">
        <w:rPr>
          <w:spacing w:val="-2"/>
          <w:sz w:val="22"/>
          <w:szCs w:val="22"/>
        </w:rPr>
        <w:t xml:space="preserve">2021 </w:t>
      </w:r>
      <w:r w:rsidRPr="000634A4">
        <w:rPr>
          <w:spacing w:val="-2"/>
          <w:sz w:val="22"/>
          <w:szCs w:val="22"/>
        </w:rPr>
        <w:t xml:space="preserve">were </w:t>
      </w:r>
      <w:r w:rsidR="00BD725C" w:rsidRPr="000634A4">
        <w:rPr>
          <w:spacing w:val="-2"/>
          <w:sz w:val="22"/>
          <w:szCs w:val="22"/>
        </w:rPr>
        <w:t>$</w:t>
      </w:r>
      <w:r w:rsidR="00932DA8" w:rsidRPr="000634A4">
        <w:rPr>
          <w:spacing w:val="-2"/>
          <w:sz w:val="22"/>
          <w:szCs w:val="22"/>
        </w:rPr>
        <w:t xml:space="preserve">2.8 </w:t>
      </w:r>
      <w:r w:rsidRPr="000634A4">
        <w:rPr>
          <w:spacing w:val="-2"/>
          <w:sz w:val="22"/>
          <w:szCs w:val="22"/>
        </w:rPr>
        <w:t xml:space="preserve">million and </w:t>
      </w:r>
      <w:r w:rsidR="00BD725C" w:rsidRPr="000634A4">
        <w:rPr>
          <w:spacing w:val="-2"/>
          <w:sz w:val="22"/>
          <w:szCs w:val="22"/>
        </w:rPr>
        <w:t>$</w:t>
      </w:r>
      <w:r w:rsidR="00BC6D2B" w:rsidRPr="000634A4">
        <w:rPr>
          <w:spacing w:val="-2"/>
          <w:sz w:val="22"/>
          <w:szCs w:val="22"/>
        </w:rPr>
        <w:t>0.6</w:t>
      </w:r>
      <w:r w:rsidR="00BD725C" w:rsidRPr="000634A4">
        <w:rPr>
          <w:spacing w:val="-2"/>
          <w:sz w:val="22"/>
          <w:szCs w:val="22"/>
        </w:rPr>
        <w:t xml:space="preserve"> </w:t>
      </w:r>
      <w:r w:rsidRPr="000634A4">
        <w:rPr>
          <w:spacing w:val="-2"/>
          <w:sz w:val="22"/>
          <w:szCs w:val="22"/>
        </w:rPr>
        <w:t xml:space="preserve">million respectively. </w:t>
      </w:r>
      <w:r w:rsidR="002F2311" w:rsidRPr="000634A4">
        <w:rPr>
          <w:spacing w:val="-2"/>
          <w:sz w:val="22"/>
          <w:szCs w:val="22"/>
        </w:rPr>
        <w:t>The cumulative c</w:t>
      </w:r>
      <w:r w:rsidRPr="000634A4">
        <w:rPr>
          <w:spacing w:val="-2"/>
          <w:sz w:val="22"/>
          <w:szCs w:val="22"/>
        </w:rPr>
        <w:t xml:space="preserve">ompleted </w:t>
      </w:r>
      <w:r w:rsidR="00C65DCE" w:rsidRPr="000634A4">
        <w:rPr>
          <w:spacing w:val="-2"/>
          <w:sz w:val="22"/>
          <w:szCs w:val="22"/>
        </w:rPr>
        <w:t>c</w:t>
      </w:r>
      <w:r w:rsidRPr="000634A4">
        <w:rPr>
          <w:spacing w:val="-2"/>
          <w:sz w:val="22"/>
          <w:szCs w:val="22"/>
        </w:rPr>
        <w:t xml:space="preserve">apitalized </w:t>
      </w:r>
      <w:r w:rsidR="009D1EBD" w:rsidRPr="000634A4">
        <w:rPr>
          <w:spacing w:val="-2"/>
          <w:sz w:val="22"/>
          <w:szCs w:val="22"/>
        </w:rPr>
        <w:t xml:space="preserve">developed </w:t>
      </w:r>
      <w:r w:rsidRPr="000634A4">
        <w:rPr>
          <w:spacing w:val="-2"/>
          <w:sz w:val="22"/>
          <w:szCs w:val="22"/>
        </w:rPr>
        <w:t xml:space="preserve">software as of December 31, </w:t>
      </w:r>
      <w:r w:rsidR="00BC6D2B" w:rsidRPr="000634A4">
        <w:rPr>
          <w:spacing w:val="-2"/>
          <w:sz w:val="22"/>
          <w:szCs w:val="22"/>
        </w:rPr>
        <w:t xml:space="preserve">2022 </w:t>
      </w:r>
      <w:r w:rsidRPr="000634A4">
        <w:rPr>
          <w:spacing w:val="-2"/>
          <w:sz w:val="22"/>
          <w:szCs w:val="22"/>
        </w:rPr>
        <w:t xml:space="preserve">and </w:t>
      </w:r>
      <w:r w:rsidR="00BC6D2B" w:rsidRPr="000634A4">
        <w:rPr>
          <w:spacing w:val="-2"/>
          <w:sz w:val="22"/>
          <w:szCs w:val="22"/>
        </w:rPr>
        <w:t xml:space="preserve">2021 </w:t>
      </w:r>
      <w:r w:rsidR="008B753D" w:rsidRPr="000634A4">
        <w:rPr>
          <w:spacing w:val="-2"/>
          <w:sz w:val="22"/>
          <w:szCs w:val="22"/>
        </w:rPr>
        <w:t>w</w:t>
      </w:r>
      <w:r w:rsidR="008B753D">
        <w:rPr>
          <w:spacing w:val="-2"/>
          <w:sz w:val="22"/>
          <w:szCs w:val="22"/>
        </w:rPr>
        <w:t>as</w:t>
      </w:r>
      <w:r w:rsidR="008B753D" w:rsidRPr="000634A4">
        <w:rPr>
          <w:spacing w:val="-2"/>
          <w:sz w:val="22"/>
          <w:szCs w:val="22"/>
        </w:rPr>
        <w:t xml:space="preserve"> </w:t>
      </w:r>
      <w:r w:rsidR="00BD725C" w:rsidRPr="000634A4">
        <w:rPr>
          <w:spacing w:val="-2"/>
          <w:sz w:val="22"/>
          <w:szCs w:val="22"/>
        </w:rPr>
        <w:t>$</w:t>
      </w:r>
      <w:r w:rsidR="00E33A19" w:rsidRPr="000634A4">
        <w:rPr>
          <w:spacing w:val="-2"/>
          <w:sz w:val="22"/>
          <w:szCs w:val="22"/>
        </w:rPr>
        <w:t xml:space="preserve">11.3 </w:t>
      </w:r>
      <w:r w:rsidRPr="000634A4">
        <w:rPr>
          <w:spacing w:val="-2"/>
          <w:sz w:val="22"/>
          <w:szCs w:val="22"/>
        </w:rPr>
        <w:t xml:space="preserve">million and </w:t>
      </w:r>
      <w:r w:rsidR="00BD725C" w:rsidRPr="000634A4">
        <w:rPr>
          <w:spacing w:val="-2"/>
          <w:sz w:val="22"/>
          <w:szCs w:val="22"/>
        </w:rPr>
        <w:t>$</w:t>
      </w:r>
      <w:r w:rsidR="00BC6D2B" w:rsidRPr="000634A4">
        <w:rPr>
          <w:spacing w:val="-2"/>
          <w:sz w:val="22"/>
          <w:szCs w:val="22"/>
        </w:rPr>
        <w:t>8.6</w:t>
      </w:r>
      <w:r w:rsidR="00BD725C" w:rsidRPr="000634A4">
        <w:rPr>
          <w:spacing w:val="-2"/>
          <w:sz w:val="22"/>
          <w:szCs w:val="22"/>
        </w:rPr>
        <w:t xml:space="preserve"> </w:t>
      </w:r>
      <w:r w:rsidRPr="000634A4">
        <w:rPr>
          <w:spacing w:val="-2"/>
          <w:sz w:val="22"/>
          <w:szCs w:val="22"/>
        </w:rPr>
        <w:t>million respectively.</w:t>
      </w:r>
    </w:p>
    <w:p w14:paraId="5BC33DC6" w14:textId="77777777" w:rsidR="00B13D40" w:rsidRPr="000634A4" w:rsidRDefault="00B13D40" w:rsidP="00A81DCD">
      <w:pPr>
        <w:tabs>
          <w:tab w:val="left" w:pos="-720"/>
        </w:tabs>
        <w:suppressAutoHyphens/>
        <w:spacing w:line="240" w:lineRule="atLeast"/>
        <w:ind w:right="180"/>
        <w:jc w:val="both"/>
        <w:rPr>
          <w:spacing w:val="-2"/>
          <w:sz w:val="22"/>
          <w:szCs w:val="22"/>
        </w:rPr>
      </w:pPr>
    </w:p>
    <w:p w14:paraId="1663C3D2" w14:textId="18280E72" w:rsidR="00A81DCD" w:rsidRPr="000634A4" w:rsidRDefault="00A81DCD" w:rsidP="00A81DCD">
      <w:pPr>
        <w:tabs>
          <w:tab w:val="left" w:pos="-720"/>
        </w:tabs>
        <w:suppressAutoHyphens/>
        <w:spacing w:line="240" w:lineRule="atLeast"/>
        <w:ind w:firstLine="720"/>
        <w:jc w:val="both"/>
        <w:rPr>
          <w:sz w:val="22"/>
          <w:szCs w:val="22"/>
        </w:rPr>
      </w:pPr>
      <w:r w:rsidRPr="000634A4">
        <w:rPr>
          <w:b/>
          <w:sz w:val="22"/>
          <w:szCs w:val="22"/>
        </w:rPr>
        <w:t xml:space="preserve">Long-lived Assets </w:t>
      </w:r>
      <w:r w:rsidRPr="000634A4">
        <w:rPr>
          <w:sz w:val="22"/>
          <w:szCs w:val="22"/>
        </w:rPr>
        <w:t xml:space="preserve">- Management assesses the recoverability of its long-lived assets, whenever events or changes in circumstances indicate that the carrying value may not be recoverable. The following factors, if present, may trigger an impairment review: (i) significant underperformance relative to expected historical or projected future operating results; (ii) significant negative industry or economic trends; (iii) significant decline in the Company’s stock price for a sustained period; and (iv) a change in the Company’s market capitalization relative to net book value. If the recoverability of these assets is unlikely because of the existence of one or more of the above-mentioned factors, an impairment analysis is performed, using </w:t>
      </w:r>
      <w:r w:rsidR="00ED1119" w:rsidRPr="000634A4">
        <w:rPr>
          <w:sz w:val="22"/>
          <w:szCs w:val="22"/>
        </w:rPr>
        <w:t>u</w:t>
      </w:r>
      <w:r w:rsidRPr="000634A4">
        <w:rPr>
          <w:sz w:val="22"/>
          <w:szCs w:val="22"/>
        </w:rPr>
        <w:t>ndiscounted cash flow </w:t>
      </w:r>
      <w:r w:rsidR="00ED1119" w:rsidRPr="000634A4">
        <w:rPr>
          <w:sz w:val="22"/>
          <w:szCs w:val="22"/>
        </w:rPr>
        <w:t>projections</w:t>
      </w:r>
      <w:r w:rsidRPr="000634A4">
        <w:rPr>
          <w:sz w:val="22"/>
          <w:szCs w:val="22"/>
        </w:rPr>
        <w:t>.  Management makes assumptions regarding estimated future cash flows and other factors to determine the fair value of these respective assets. An impairment loss will be recognized only if the carrying value of a long-lived asset is not recoverable</w:t>
      </w:r>
      <w:r w:rsidR="00ED1119" w:rsidRPr="000634A4">
        <w:rPr>
          <w:sz w:val="22"/>
          <w:szCs w:val="22"/>
        </w:rPr>
        <w:t xml:space="preserve"> and </w:t>
      </w:r>
      <w:r w:rsidRPr="000634A4">
        <w:rPr>
          <w:sz w:val="22"/>
          <w:szCs w:val="22"/>
        </w:rPr>
        <w:t xml:space="preserve">exceeds its fair </w:t>
      </w:r>
      <w:r w:rsidR="005D7758" w:rsidRPr="000634A4">
        <w:rPr>
          <w:sz w:val="22"/>
          <w:szCs w:val="22"/>
        </w:rPr>
        <w:t>value and</w:t>
      </w:r>
      <w:r w:rsidRPr="000634A4">
        <w:rPr>
          <w:sz w:val="22"/>
          <w:szCs w:val="22"/>
        </w:rPr>
        <w:t xml:space="preserve"> is measured as the amount by which the carrying amount of a long-lived asset exceeds its fair value. </w:t>
      </w:r>
    </w:p>
    <w:p w14:paraId="0C5C0730" w14:textId="77777777" w:rsidR="00A81DCD" w:rsidRPr="000634A4" w:rsidRDefault="00A81DCD" w:rsidP="00A81DCD">
      <w:pPr>
        <w:tabs>
          <w:tab w:val="left" w:pos="-720"/>
        </w:tabs>
        <w:suppressAutoHyphens/>
        <w:spacing w:line="240" w:lineRule="atLeast"/>
        <w:jc w:val="both"/>
        <w:rPr>
          <w:sz w:val="22"/>
          <w:szCs w:val="22"/>
        </w:rPr>
      </w:pPr>
    </w:p>
    <w:p w14:paraId="418C833F" w14:textId="653779F2" w:rsidR="00A81DCD" w:rsidRPr="000634A4" w:rsidRDefault="00A81DCD" w:rsidP="00A81DCD">
      <w:pPr>
        <w:ind w:firstLine="720"/>
        <w:jc w:val="both"/>
        <w:rPr>
          <w:spacing w:val="-2"/>
          <w:sz w:val="22"/>
          <w:szCs w:val="22"/>
        </w:rPr>
      </w:pPr>
      <w:r w:rsidRPr="000634A4">
        <w:rPr>
          <w:b/>
          <w:bCs/>
          <w:spacing w:val="-2"/>
          <w:sz w:val="22"/>
          <w:szCs w:val="22"/>
        </w:rPr>
        <w:t xml:space="preserve">Goodwill and Other Intangible Assets – </w:t>
      </w:r>
      <w:r w:rsidRPr="000634A4">
        <w:rPr>
          <w:spacing w:val="-2"/>
          <w:sz w:val="22"/>
          <w:szCs w:val="22"/>
        </w:rPr>
        <w:t xml:space="preserve">The Company performs a valuation of assets acquired and liabilities assumed on each acquisition accounted for as a business combination and allocates the purchase price of each acquired business to its respective net tangible and intangible assets and liabilities. Acquired intangible assets principally consist of technology, </w:t>
      </w:r>
      <w:r w:rsidR="00FE2D12" w:rsidRPr="000634A4">
        <w:rPr>
          <w:spacing w:val="-2"/>
          <w:sz w:val="22"/>
          <w:szCs w:val="22"/>
        </w:rPr>
        <w:t xml:space="preserve">customer </w:t>
      </w:r>
      <w:r w:rsidRPr="000634A4">
        <w:rPr>
          <w:spacing w:val="-2"/>
          <w:sz w:val="22"/>
          <w:szCs w:val="22"/>
        </w:rPr>
        <w:t>relationships, backlog and trademarks</w:t>
      </w:r>
      <w:r w:rsidR="0027299A">
        <w:rPr>
          <w:spacing w:val="-2"/>
          <w:sz w:val="22"/>
          <w:szCs w:val="22"/>
        </w:rPr>
        <w:t>, having useful li</w:t>
      </w:r>
      <w:r w:rsidR="006259F3">
        <w:rPr>
          <w:spacing w:val="-2"/>
          <w:sz w:val="22"/>
          <w:szCs w:val="22"/>
        </w:rPr>
        <w:t>v</w:t>
      </w:r>
      <w:r w:rsidR="0027299A">
        <w:rPr>
          <w:spacing w:val="-2"/>
          <w:sz w:val="22"/>
          <w:szCs w:val="22"/>
        </w:rPr>
        <w:t>e</w:t>
      </w:r>
      <w:r w:rsidR="006259F3">
        <w:rPr>
          <w:spacing w:val="-2"/>
          <w:sz w:val="22"/>
          <w:szCs w:val="22"/>
        </w:rPr>
        <w:t>s</w:t>
      </w:r>
      <w:r w:rsidR="0027299A">
        <w:rPr>
          <w:spacing w:val="-2"/>
          <w:sz w:val="22"/>
          <w:szCs w:val="22"/>
        </w:rPr>
        <w:t xml:space="preserve"> </w:t>
      </w:r>
      <w:r w:rsidR="00F52A68">
        <w:rPr>
          <w:spacing w:val="-2"/>
          <w:sz w:val="22"/>
          <w:szCs w:val="22"/>
        </w:rPr>
        <w:t xml:space="preserve">which range </w:t>
      </w:r>
      <w:r w:rsidR="0027299A">
        <w:rPr>
          <w:spacing w:val="-2"/>
          <w:sz w:val="22"/>
          <w:szCs w:val="22"/>
        </w:rPr>
        <w:t xml:space="preserve">from </w:t>
      </w:r>
      <w:r w:rsidR="00F52A68">
        <w:rPr>
          <w:spacing w:val="-2"/>
          <w:sz w:val="22"/>
          <w:szCs w:val="22"/>
        </w:rPr>
        <w:t>ten to twelve years</w:t>
      </w:r>
      <w:r w:rsidRPr="000634A4">
        <w:rPr>
          <w:spacing w:val="-2"/>
          <w:sz w:val="22"/>
          <w:szCs w:val="22"/>
        </w:rPr>
        <w:t>. Liabilities related to intangibles principally consist of unfavorable vendor contracts. The Company determines the appropriate useful life by performing an analysis of expected cash flows based on projected financial information of the acquired businesses. Intangible assets are amortized over their estimated useful lives using the straight-line method, which approximates the pattern in which the majority of the economic benefits are expected to be consumed. Intangible assets are amortized into direct operating costs ratably over their expected related revenue streams over their useful lives.</w:t>
      </w:r>
    </w:p>
    <w:p w14:paraId="4693D450" w14:textId="77777777" w:rsidR="00A81DCD" w:rsidRPr="000634A4" w:rsidRDefault="00A81DCD" w:rsidP="00A81DCD">
      <w:pPr>
        <w:ind w:firstLine="720"/>
        <w:jc w:val="both"/>
        <w:rPr>
          <w:spacing w:val="-2"/>
          <w:sz w:val="22"/>
          <w:szCs w:val="22"/>
        </w:rPr>
      </w:pPr>
      <w:r w:rsidRPr="000634A4">
        <w:rPr>
          <w:spacing w:val="-2"/>
          <w:sz w:val="22"/>
          <w:szCs w:val="22"/>
        </w:rPr>
        <w:t> </w:t>
      </w:r>
    </w:p>
    <w:p w14:paraId="3044E565" w14:textId="07F78F3C" w:rsidR="00AA18A6" w:rsidRPr="000634A4" w:rsidRDefault="00AA18A6" w:rsidP="00AA18A6">
      <w:pPr>
        <w:ind w:firstLine="720"/>
        <w:jc w:val="both"/>
        <w:rPr>
          <w:spacing w:val="-2"/>
          <w:sz w:val="22"/>
          <w:szCs w:val="22"/>
        </w:rPr>
      </w:pPr>
      <w:r w:rsidRPr="000634A4">
        <w:rPr>
          <w:spacing w:val="-2"/>
          <w:sz w:val="22"/>
          <w:szCs w:val="22"/>
        </w:rPr>
        <w:t>Goodwill represents the excess of the cost of an acquired entity over the fair value of the acquired net assets. The Company does not amortize goodwill but evaluate</w:t>
      </w:r>
      <w:r w:rsidR="00EA028E" w:rsidRPr="000634A4">
        <w:rPr>
          <w:spacing w:val="-2"/>
          <w:sz w:val="22"/>
          <w:szCs w:val="22"/>
        </w:rPr>
        <w:t>s</w:t>
      </w:r>
      <w:r w:rsidRPr="000634A4">
        <w:rPr>
          <w:spacing w:val="-2"/>
          <w:sz w:val="22"/>
          <w:szCs w:val="22"/>
        </w:rPr>
        <w:t xml:space="preserve"> it for impairment at the reporting unit level annually during the third quarter of each fiscal year (as of September 30 of that year) or when an event occurs, or circumstances change, that indicates the carrying value may not be recoverable. </w:t>
      </w:r>
    </w:p>
    <w:p w14:paraId="3F3EA3F9" w14:textId="77777777" w:rsidR="00395764" w:rsidRPr="000634A4" w:rsidRDefault="00395764" w:rsidP="00AA18A6">
      <w:pPr>
        <w:ind w:firstLine="720"/>
        <w:jc w:val="both"/>
        <w:rPr>
          <w:spacing w:val="-2"/>
          <w:sz w:val="22"/>
          <w:szCs w:val="22"/>
        </w:rPr>
      </w:pPr>
    </w:p>
    <w:p w14:paraId="7BAFB837" w14:textId="77777777" w:rsidR="009F6606" w:rsidRPr="000634A4" w:rsidRDefault="009F6606" w:rsidP="009F6606">
      <w:pPr>
        <w:jc w:val="both"/>
        <w:rPr>
          <w:spacing w:val="-2"/>
          <w:sz w:val="22"/>
          <w:szCs w:val="22"/>
        </w:rPr>
      </w:pPr>
      <w:r w:rsidRPr="000634A4">
        <w:rPr>
          <w:spacing w:val="-2"/>
          <w:sz w:val="22"/>
          <w:szCs w:val="22"/>
        </w:rPr>
        <w:tab/>
        <w:t>The Company performed its annual goodwill assessment for the Agility segment as of September 30, 2022 and tested the intangible assets of the Agility and Synodex segments for impairment. The impairment test involves estimating the fair value based on a combination of income (estimates of future discounted cash flows) and the market approach (market multiples for similar companies) using unobservable inputs (Level 3)</w:t>
      </w:r>
      <w:r w:rsidRPr="000634A4">
        <w:rPr>
          <w:sz w:val="22"/>
          <w:szCs w:val="22"/>
        </w:rPr>
        <w:t xml:space="preserve">. </w:t>
      </w:r>
      <w:r w:rsidRPr="000634A4">
        <w:rPr>
          <w:spacing w:val="-2"/>
          <w:sz w:val="22"/>
          <w:szCs w:val="22"/>
        </w:rPr>
        <w:t>The Company concluded that there is no impairment of goodwill and intangible assets for the Agility and Synodex segments.</w:t>
      </w:r>
    </w:p>
    <w:p w14:paraId="506E5AD0" w14:textId="5172BBA2" w:rsidR="009F6606" w:rsidRPr="000634A4" w:rsidRDefault="009F6606" w:rsidP="009F6606">
      <w:pPr>
        <w:tabs>
          <w:tab w:val="left" w:pos="-720"/>
        </w:tabs>
        <w:suppressAutoHyphens/>
        <w:spacing w:line="240" w:lineRule="atLeast"/>
        <w:jc w:val="both"/>
        <w:rPr>
          <w:b/>
          <w:bCs/>
          <w:spacing w:val="-2"/>
          <w:sz w:val="22"/>
          <w:szCs w:val="22"/>
        </w:rPr>
      </w:pPr>
    </w:p>
    <w:p w14:paraId="71C42E6D" w14:textId="6DA943B4" w:rsidR="00C77254" w:rsidRPr="000634A4" w:rsidRDefault="009F6606" w:rsidP="00501AD3">
      <w:pPr>
        <w:tabs>
          <w:tab w:val="left" w:pos="-720"/>
        </w:tabs>
        <w:suppressAutoHyphens/>
        <w:spacing w:line="240" w:lineRule="atLeast"/>
        <w:jc w:val="both"/>
        <w:rPr>
          <w:strike/>
          <w:spacing w:val="-2"/>
          <w:sz w:val="22"/>
          <w:szCs w:val="22"/>
        </w:rPr>
      </w:pPr>
      <w:r w:rsidRPr="000634A4">
        <w:rPr>
          <w:b/>
          <w:bCs/>
          <w:spacing w:val="-2"/>
          <w:sz w:val="22"/>
          <w:szCs w:val="22"/>
        </w:rPr>
        <w:tab/>
      </w:r>
      <w:r w:rsidR="00A81DCD" w:rsidRPr="000634A4">
        <w:rPr>
          <w:b/>
          <w:bCs/>
          <w:spacing w:val="-2"/>
          <w:sz w:val="22"/>
          <w:szCs w:val="22"/>
        </w:rPr>
        <w:t xml:space="preserve">Income Taxes </w:t>
      </w:r>
      <w:r w:rsidR="00A81DCD" w:rsidRPr="000634A4">
        <w:rPr>
          <w:spacing w:val="-2"/>
          <w:sz w:val="22"/>
          <w:szCs w:val="22"/>
        </w:rPr>
        <w:t xml:space="preserve">- </w:t>
      </w:r>
      <w:r w:rsidR="00AA18A6" w:rsidRPr="000634A4">
        <w:rPr>
          <w:spacing w:val="-2"/>
          <w:sz w:val="22"/>
          <w:szCs w:val="22"/>
        </w:rPr>
        <w:t>Estimated deferred taxes are determined based on the difference between the financial statement and tax basis of assets and liabilities, using enacted tax rates, as well as any net operating loss or tax credit carryforwards expected to reduce taxes payable in future years. A valuation allowance is provided when it is more likely than not that all or some portion of the estimated deferred tax assets will not be realized. While the Company considers future taxable income in assessing the need for the valuation allowance, in the event that the Company anticipates that it will be able to realize the estimated deferred tax assets in the future in excess of its net recorded amount, an adjustment to the provision for deferred tax assets would increase income in the period such determination was made. Similarly, in the event that the Company anticipates that it will not be able to realize the estimated deferred tax assets in the future considering future taxable income, an adjustment to the provision for deferred tax assets would decrease income in the period such determination was made. Changes in the valuation allowance from period to period are included in the Company’s tax provision in the period of change. The Company indefinitely reinvests the foreign earnings in its foreign subsidiaries.</w:t>
      </w:r>
      <w:r w:rsidR="00D33C67" w:rsidRPr="000634A4">
        <w:rPr>
          <w:sz w:val="22"/>
          <w:szCs w:val="22"/>
        </w:rPr>
        <w:t xml:space="preserve"> If such earnings are repatriated in </w:t>
      </w:r>
      <w:r w:rsidR="00D33C67" w:rsidRPr="000634A4">
        <w:rPr>
          <w:sz w:val="22"/>
          <w:szCs w:val="22"/>
        </w:rPr>
        <w:lastRenderedPageBreak/>
        <w:t>the future, or are no longer deemed to be indefinitely reinvested, the Company would have to accrue as a liability the applicable amount of foreign jurisdiction withholding taxes associated with such remittances</w:t>
      </w:r>
      <w:r w:rsidR="00A04A78" w:rsidRPr="000634A4">
        <w:rPr>
          <w:sz w:val="22"/>
          <w:szCs w:val="22"/>
        </w:rPr>
        <w:t>.</w:t>
      </w:r>
      <w:r w:rsidR="00D33C67" w:rsidRPr="000634A4">
        <w:rPr>
          <w:sz w:val="22"/>
          <w:szCs w:val="22"/>
        </w:rPr>
        <w:t xml:space="preserve"> </w:t>
      </w:r>
    </w:p>
    <w:p w14:paraId="0E35FC98" w14:textId="77777777" w:rsidR="00A81DCD" w:rsidRPr="000634A4" w:rsidRDefault="00A81DCD" w:rsidP="00C77254">
      <w:pPr>
        <w:tabs>
          <w:tab w:val="left" w:pos="-720"/>
        </w:tabs>
        <w:suppressAutoHyphens/>
        <w:spacing w:line="240" w:lineRule="atLeast"/>
        <w:ind w:firstLine="720"/>
        <w:jc w:val="both"/>
        <w:rPr>
          <w:spacing w:val="-2"/>
          <w:sz w:val="22"/>
          <w:szCs w:val="22"/>
        </w:rPr>
      </w:pPr>
    </w:p>
    <w:p w14:paraId="48280366" w14:textId="5578017F" w:rsidR="00A81DCD" w:rsidRPr="000634A4" w:rsidRDefault="00A81DCD" w:rsidP="00450707">
      <w:pPr>
        <w:ind w:firstLine="720"/>
        <w:jc w:val="both"/>
        <w:rPr>
          <w:sz w:val="22"/>
          <w:szCs w:val="22"/>
        </w:rPr>
      </w:pPr>
      <w:r w:rsidRPr="000634A4">
        <w:rPr>
          <w:sz w:val="22"/>
          <w:szCs w:val="22"/>
        </w:rPr>
        <w:t>In assessing the realization of deferred tax assets, management considered whether it is more likely than not that all or some portion of the U.S. and Canadian deferred tax assets will not be realizable. As the expectation of future taxable income resulting from</w:t>
      </w:r>
      <w:r w:rsidR="00AA18A6" w:rsidRPr="000634A4">
        <w:rPr>
          <w:sz w:val="22"/>
          <w:szCs w:val="22"/>
        </w:rPr>
        <w:t xml:space="preserve"> the</w:t>
      </w:r>
      <w:r w:rsidRPr="000634A4">
        <w:rPr>
          <w:sz w:val="22"/>
          <w:szCs w:val="22"/>
        </w:rPr>
        <w:t xml:space="preserve"> Synodex and Agility segments cannot be predicted with certainty, the Company maintains a valuation allowance against all the </w:t>
      </w:r>
      <w:r w:rsidR="006D70F9" w:rsidRPr="000634A4">
        <w:rPr>
          <w:sz w:val="22"/>
          <w:szCs w:val="22"/>
        </w:rPr>
        <w:t>United States,</w:t>
      </w:r>
      <w:r w:rsidRPr="000634A4">
        <w:rPr>
          <w:sz w:val="22"/>
          <w:szCs w:val="22"/>
        </w:rPr>
        <w:t xml:space="preserve"> Canadian </w:t>
      </w:r>
      <w:r w:rsidR="006D70F9" w:rsidRPr="000634A4">
        <w:rPr>
          <w:sz w:val="22"/>
          <w:szCs w:val="22"/>
        </w:rPr>
        <w:t xml:space="preserve">and European </w:t>
      </w:r>
      <w:r w:rsidR="002347D7" w:rsidRPr="000634A4">
        <w:rPr>
          <w:sz w:val="22"/>
          <w:szCs w:val="22"/>
        </w:rPr>
        <w:t>(principally Germany and the United Kingdo</w:t>
      </w:r>
      <w:r w:rsidR="00CB0C6A" w:rsidRPr="000634A4">
        <w:rPr>
          <w:sz w:val="22"/>
          <w:szCs w:val="22"/>
        </w:rPr>
        <w:t>m</w:t>
      </w:r>
      <w:r w:rsidR="00476265">
        <w:rPr>
          <w:sz w:val="22"/>
          <w:szCs w:val="22"/>
        </w:rPr>
        <w:t>)</w:t>
      </w:r>
      <w:r w:rsidR="00CB0C6A" w:rsidRPr="000634A4">
        <w:rPr>
          <w:sz w:val="22"/>
          <w:szCs w:val="22"/>
        </w:rPr>
        <w:t xml:space="preserve"> net</w:t>
      </w:r>
      <w:r w:rsidR="00CA6D02" w:rsidRPr="000634A4">
        <w:rPr>
          <w:sz w:val="22"/>
          <w:szCs w:val="22"/>
        </w:rPr>
        <w:t xml:space="preserve"> </w:t>
      </w:r>
      <w:r w:rsidRPr="000634A4">
        <w:rPr>
          <w:sz w:val="22"/>
          <w:szCs w:val="22"/>
        </w:rPr>
        <w:t>deferred tax assets.</w:t>
      </w:r>
    </w:p>
    <w:p w14:paraId="42173207" w14:textId="77777777" w:rsidR="00A81DCD" w:rsidRPr="000634A4" w:rsidRDefault="00A81DCD" w:rsidP="00A81DCD">
      <w:pPr>
        <w:tabs>
          <w:tab w:val="left" w:pos="-720"/>
        </w:tabs>
        <w:suppressAutoHyphens/>
        <w:spacing w:line="240" w:lineRule="atLeast"/>
        <w:jc w:val="both"/>
        <w:rPr>
          <w:spacing w:val="-2"/>
          <w:sz w:val="22"/>
          <w:szCs w:val="22"/>
        </w:rPr>
      </w:pPr>
    </w:p>
    <w:p w14:paraId="0EE70572" w14:textId="77777777" w:rsidR="00A81DCD" w:rsidRPr="000634A4" w:rsidRDefault="00A81DCD" w:rsidP="00A81DCD">
      <w:pPr>
        <w:ind w:firstLine="720"/>
        <w:jc w:val="both"/>
        <w:rPr>
          <w:sz w:val="22"/>
          <w:szCs w:val="22"/>
        </w:rPr>
      </w:pPr>
      <w:r w:rsidRPr="000634A4">
        <w:rPr>
          <w:sz w:val="22"/>
          <w:szCs w:val="22"/>
        </w:rPr>
        <w:t xml:space="preserve">The Company accounts for income taxes regarding uncertain tax positions, and </w:t>
      </w:r>
      <w:bookmarkStart w:id="47" w:name="OLE_LINK17"/>
      <w:bookmarkStart w:id="48" w:name="OLE_LINK18"/>
      <w:r w:rsidRPr="000634A4">
        <w:rPr>
          <w:sz w:val="22"/>
          <w:szCs w:val="22"/>
        </w:rPr>
        <w:t xml:space="preserve">recognizes interest and penalties related to uncertain tax positions in income tax expense in the consolidated statements of operations and comprehensive loss. </w:t>
      </w:r>
    </w:p>
    <w:p w14:paraId="4FC8A428" w14:textId="77777777" w:rsidR="00A81DCD" w:rsidRPr="000634A4" w:rsidRDefault="00A81DCD" w:rsidP="00A81DCD">
      <w:pPr>
        <w:ind w:firstLine="720"/>
        <w:jc w:val="both"/>
        <w:rPr>
          <w:bCs/>
          <w:spacing w:val="-2"/>
          <w:sz w:val="22"/>
          <w:szCs w:val="22"/>
        </w:rPr>
      </w:pPr>
    </w:p>
    <w:p w14:paraId="58554B59" w14:textId="2F8D8145" w:rsidR="009D76F6" w:rsidRPr="000634A4" w:rsidRDefault="009D76F6" w:rsidP="009D76F6">
      <w:pPr>
        <w:ind w:firstLine="720"/>
        <w:jc w:val="both"/>
        <w:rPr>
          <w:sz w:val="22"/>
          <w:szCs w:val="22"/>
        </w:rPr>
      </w:pPr>
      <w:bookmarkStart w:id="49" w:name="_Hlk96034772"/>
      <w:bookmarkEnd w:id="47"/>
      <w:bookmarkEnd w:id="48"/>
      <w:r w:rsidRPr="000634A4">
        <w:rPr>
          <w:b/>
          <w:bCs/>
          <w:iCs/>
          <w:sz w:val="22"/>
          <w:szCs w:val="22"/>
        </w:rPr>
        <w:t>Accounting for Leases -</w:t>
      </w:r>
      <w:r w:rsidR="00772B98" w:rsidRPr="000634A4">
        <w:rPr>
          <w:b/>
          <w:bCs/>
          <w:iCs/>
          <w:sz w:val="22"/>
          <w:szCs w:val="22"/>
        </w:rPr>
        <w:t>–</w:t>
      </w:r>
      <w:r w:rsidRPr="000634A4">
        <w:rPr>
          <w:sz w:val="22"/>
          <w:szCs w:val="22"/>
        </w:rPr>
        <w:t xml:space="preserve"> </w:t>
      </w:r>
      <w:r w:rsidR="0058708C" w:rsidRPr="000634A4">
        <w:rPr>
          <w:sz w:val="22"/>
          <w:szCs w:val="22"/>
        </w:rPr>
        <w:t xml:space="preserve">Accounting Standards </w:t>
      </w:r>
      <w:r w:rsidR="00C6779A" w:rsidRPr="000634A4">
        <w:rPr>
          <w:sz w:val="22"/>
          <w:szCs w:val="22"/>
        </w:rPr>
        <w:t xml:space="preserve">for </w:t>
      </w:r>
      <w:r w:rsidR="00A447E6" w:rsidRPr="000634A4">
        <w:rPr>
          <w:sz w:val="22"/>
          <w:szCs w:val="22"/>
        </w:rPr>
        <w:t>Codifications (</w:t>
      </w:r>
      <w:r w:rsidR="004E3852" w:rsidRPr="000634A4">
        <w:rPr>
          <w:sz w:val="22"/>
          <w:szCs w:val="22"/>
        </w:rPr>
        <w:t xml:space="preserve">ASC </w:t>
      </w:r>
      <w:r w:rsidR="0058708C" w:rsidRPr="000634A4">
        <w:rPr>
          <w:sz w:val="22"/>
          <w:szCs w:val="22"/>
        </w:rPr>
        <w:t>842</w:t>
      </w:r>
      <w:r w:rsidR="00BB08DC" w:rsidRPr="000634A4">
        <w:rPr>
          <w:sz w:val="22"/>
          <w:szCs w:val="22"/>
        </w:rPr>
        <w:t xml:space="preserve"> “Accounting for </w:t>
      </w:r>
      <w:r w:rsidR="00CF0105" w:rsidRPr="000634A4">
        <w:rPr>
          <w:sz w:val="22"/>
          <w:szCs w:val="22"/>
        </w:rPr>
        <w:t>L</w:t>
      </w:r>
      <w:r w:rsidR="00BB08DC" w:rsidRPr="000634A4">
        <w:rPr>
          <w:sz w:val="22"/>
          <w:szCs w:val="22"/>
        </w:rPr>
        <w:t>eases”</w:t>
      </w:r>
      <w:r w:rsidR="0058708C" w:rsidRPr="000634A4">
        <w:rPr>
          <w:sz w:val="22"/>
          <w:szCs w:val="22"/>
        </w:rPr>
        <w:t>)</w:t>
      </w:r>
      <w:r w:rsidR="00A447E6" w:rsidRPr="000634A4">
        <w:rPr>
          <w:sz w:val="22"/>
          <w:szCs w:val="22"/>
        </w:rPr>
        <w:t xml:space="preserve"> </w:t>
      </w:r>
      <w:r w:rsidRPr="000634A4">
        <w:rPr>
          <w:sz w:val="22"/>
          <w:szCs w:val="22"/>
        </w:rPr>
        <w:t>requires lessees to recognize most leases on their balance sheets as liabilities, with corresponding “right-of-use” assets</w:t>
      </w:r>
      <w:r w:rsidR="00093404" w:rsidRPr="000634A4">
        <w:rPr>
          <w:sz w:val="22"/>
          <w:szCs w:val="22"/>
        </w:rPr>
        <w:t>.</w:t>
      </w:r>
      <w:r w:rsidRPr="000634A4">
        <w:rPr>
          <w:sz w:val="22"/>
          <w:szCs w:val="22"/>
        </w:rPr>
        <w:t xml:space="preserve"> </w:t>
      </w:r>
      <w:r w:rsidR="009A2EEE" w:rsidRPr="000634A4">
        <w:rPr>
          <w:sz w:val="22"/>
          <w:szCs w:val="22"/>
        </w:rPr>
        <w:t>T</w:t>
      </w:r>
      <w:r w:rsidRPr="000634A4">
        <w:rPr>
          <w:sz w:val="22"/>
          <w:szCs w:val="22"/>
        </w:rPr>
        <w:t>he Company recognize</w:t>
      </w:r>
      <w:r w:rsidR="00223E58" w:rsidRPr="000634A4">
        <w:rPr>
          <w:sz w:val="22"/>
          <w:szCs w:val="22"/>
        </w:rPr>
        <w:t>s</w:t>
      </w:r>
      <w:r w:rsidRPr="000634A4">
        <w:rPr>
          <w:sz w:val="22"/>
          <w:szCs w:val="22"/>
        </w:rPr>
        <w:t xml:space="preserve"> a right-of-use asset and corresponding lease </w:t>
      </w:r>
      <w:r w:rsidR="00F14098" w:rsidRPr="000634A4">
        <w:rPr>
          <w:sz w:val="22"/>
          <w:szCs w:val="22"/>
        </w:rPr>
        <w:t>liability for all it</w:t>
      </w:r>
      <w:r w:rsidR="00841B36" w:rsidRPr="000634A4">
        <w:rPr>
          <w:sz w:val="22"/>
          <w:szCs w:val="22"/>
        </w:rPr>
        <w:t>s operating leases</w:t>
      </w:r>
      <w:r w:rsidRPr="000634A4">
        <w:rPr>
          <w:sz w:val="22"/>
          <w:szCs w:val="22"/>
        </w:rPr>
        <w:t xml:space="preserve">. See Note </w:t>
      </w:r>
      <w:r w:rsidR="009F4152" w:rsidRPr="000634A4">
        <w:rPr>
          <w:sz w:val="22"/>
          <w:szCs w:val="22"/>
        </w:rPr>
        <w:t>7</w:t>
      </w:r>
      <w:r w:rsidRPr="000634A4">
        <w:rPr>
          <w:sz w:val="22"/>
          <w:szCs w:val="22"/>
        </w:rPr>
        <w:t>, Operating Leases.</w:t>
      </w:r>
    </w:p>
    <w:bookmarkEnd w:id="49"/>
    <w:p w14:paraId="5CBD5FE9" w14:textId="77777777" w:rsidR="00A81DCD" w:rsidRPr="000634A4" w:rsidRDefault="00A81DCD" w:rsidP="00A81DCD">
      <w:pPr>
        <w:ind w:firstLine="720"/>
        <w:jc w:val="both"/>
        <w:rPr>
          <w:sz w:val="22"/>
          <w:szCs w:val="22"/>
        </w:rPr>
      </w:pPr>
    </w:p>
    <w:p w14:paraId="681548D5" w14:textId="53BED91F" w:rsidR="00A81DCD" w:rsidRPr="000634A4" w:rsidRDefault="00A81DCD" w:rsidP="00A81DCD">
      <w:pPr>
        <w:ind w:firstLine="720"/>
        <w:jc w:val="both"/>
        <w:rPr>
          <w:sz w:val="22"/>
          <w:szCs w:val="22"/>
        </w:rPr>
      </w:pPr>
      <w:r w:rsidRPr="000634A4">
        <w:rPr>
          <w:sz w:val="22"/>
          <w:szCs w:val="22"/>
        </w:rPr>
        <w:t xml:space="preserve">The determination of whether an arrangement is, or contains, a lease is based on the substance of the arrangement at the inception date and requires an assessment of whether the fulfillment of the arrangement is dependent on the use of a specific asset or </w:t>
      </w:r>
      <w:r w:rsidR="005D7758" w:rsidRPr="000634A4">
        <w:rPr>
          <w:sz w:val="22"/>
          <w:szCs w:val="22"/>
        </w:rPr>
        <w:t>assets,</w:t>
      </w:r>
      <w:r w:rsidRPr="000634A4">
        <w:rPr>
          <w:sz w:val="22"/>
          <w:szCs w:val="22"/>
        </w:rPr>
        <w:t xml:space="preserve"> or the arrangement conveys a right to use the asset. A reassessment is made after inception of the lease only if one of the following applies:</w:t>
      </w:r>
    </w:p>
    <w:p w14:paraId="1397EF65" w14:textId="77777777" w:rsidR="00A81DCD" w:rsidRPr="000634A4" w:rsidRDefault="00A81DCD" w:rsidP="005F7716">
      <w:pPr>
        <w:numPr>
          <w:ilvl w:val="0"/>
          <w:numId w:val="10"/>
        </w:numPr>
        <w:spacing w:before="240"/>
        <w:ind w:left="720"/>
        <w:jc w:val="both"/>
        <w:rPr>
          <w:sz w:val="22"/>
          <w:szCs w:val="22"/>
        </w:rPr>
      </w:pPr>
      <w:r w:rsidRPr="000634A4">
        <w:rPr>
          <w:sz w:val="22"/>
          <w:szCs w:val="22"/>
        </w:rPr>
        <w:t xml:space="preserve">there is a change in contractual terms, other than a renewal or extension of the arrangement; </w:t>
      </w:r>
    </w:p>
    <w:p w14:paraId="46C7AB44" w14:textId="77777777" w:rsidR="00A81DCD" w:rsidRPr="000634A4" w:rsidRDefault="00A81DCD" w:rsidP="005F7716">
      <w:pPr>
        <w:numPr>
          <w:ilvl w:val="0"/>
          <w:numId w:val="10"/>
        </w:numPr>
        <w:spacing w:before="240"/>
        <w:ind w:left="720"/>
        <w:jc w:val="both"/>
        <w:rPr>
          <w:sz w:val="22"/>
          <w:szCs w:val="22"/>
        </w:rPr>
      </w:pPr>
      <w:r w:rsidRPr="000634A4">
        <w:rPr>
          <w:sz w:val="22"/>
          <w:szCs w:val="22"/>
        </w:rPr>
        <w:t xml:space="preserve">a renewal option is exercised, or extension granted, unless the term of the renewal or extension was initially included in the lease term; </w:t>
      </w:r>
    </w:p>
    <w:p w14:paraId="750224AB" w14:textId="77777777" w:rsidR="00A81DCD" w:rsidRPr="000634A4" w:rsidRDefault="00A81DCD" w:rsidP="005F7716">
      <w:pPr>
        <w:numPr>
          <w:ilvl w:val="0"/>
          <w:numId w:val="10"/>
        </w:numPr>
        <w:spacing w:before="240"/>
        <w:ind w:left="720"/>
        <w:jc w:val="both"/>
        <w:rPr>
          <w:sz w:val="22"/>
          <w:szCs w:val="22"/>
        </w:rPr>
      </w:pPr>
      <w:r w:rsidRPr="000634A4">
        <w:rPr>
          <w:sz w:val="22"/>
          <w:szCs w:val="22"/>
        </w:rPr>
        <w:t xml:space="preserve">there is a change in the determination of whether fulfillment is dependent on a specified asset; or </w:t>
      </w:r>
    </w:p>
    <w:p w14:paraId="6E45B392" w14:textId="77777777" w:rsidR="00A81DCD" w:rsidRPr="000634A4" w:rsidRDefault="00A81DCD" w:rsidP="005F7716">
      <w:pPr>
        <w:numPr>
          <w:ilvl w:val="0"/>
          <w:numId w:val="10"/>
        </w:numPr>
        <w:spacing w:before="240"/>
        <w:ind w:left="720"/>
        <w:jc w:val="both"/>
        <w:rPr>
          <w:sz w:val="22"/>
          <w:szCs w:val="22"/>
        </w:rPr>
      </w:pPr>
      <w:r w:rsidRPr="000634A4">
        <w:rPr>
          <w:sz w:val="22"/>
          <w:szCs w:val="22"/>
        </w:rPr>
        <w:t xml:space="preserve">there is a substantial change to the asset. </w:t>
      </w:r>
    </w:p>
    <w:p w14:paraId="0306E732" w14:textId="77777777" w:rsidR="00A81DCD" w:rsidRPr="000634A4" w:rsidRDefault="00A81DCD" w:rsidP="00A81DCD">
      <w:pPr>
        <w:jc w:val="both"/>
        <w:rPr>
          <w:sz w:val="22"/>
          <w:szCs w:val="22"/>
        </w:rPr>
      </w:pPr>
    </w:p>
    <w:p w14:paraId="3AE02615" w14:textId="77777777" w:rsidR="00A81DCD" w:rsidRPr="000634A4" w:rsidRDefault="00A81DCD" w:rsidP="00A81DCD">
      <w:pPr>
        <w:ind w:firstLine="720"/>
        <w:jc w:val="both"/>
        <w:rPr>
          <w:sz w:val="22"/>
          <w:szCs w:val="22"/>
        </w:rPr>
      </w:pPr>
      <w:r w:rsidRPr="000634A4">
        <w:rPr>
          <w:sz w:val="22"/>
          <w:szCs w:val="22"/>
        </w:rPr>
        <w:t>Whenever a reassessment is made, lease accounting shall commence or cease from the date when the change in circumstances gave rise to the reassessment for scenarios (a), (c) or (d) and at the date of renewal or extension period for scenario (b).</w:t>
      </w:r>
    </w:p>
    <w:p w14:paraId="4421C0F5" w14:textId="77777777" w:rsidR="00A81DCD" w:rsidRPr="000634A4" w:rsidRDefault="00A81DCD" w:rsidP="00A81DCD">
      <w:pPr>
        <w:ind w:firstLine="720"/>
        <w:jc w:val="both"/>
        <w:rPr>
          <w:sz w:val="22"/>
          <w:szCs w:val="22"/>
        </w:rPr>
      </w:pPr>
    </w:p>
    <w:p w14:paraId="5DF452DD" w14:textId="7417A141" w:rsidR="00A81DCD" w:rsidRPr="000634A4" w:rsidRDefault="00A81DCD" w:rsidP="00A81DCD">
      <w:pPr>
        <w:ind w:firstLine="720"/>
        <w:jc w:val="both"/>
        <w:rPr>
          <w:sz w:val="22"/>
          <w:szCs w:val="22"/>
        </w:rPr>
      </w:pPr>
      <w:r w:rsidRPr="000634A4">
        <w:rPr>
          <w:sz w:val="22"/>
          <w:szCs w:val="22"/>
        </w:rPr>
        <w:t xml:space="preserve">Leases where the lessor retains substantially all the risks and rewards of ownership are classified as operating leases. </w:t>
      </w:r>
      <w:r w:rsidR="00341306" w:rsidRPr="000634A4">
        <w:rPr>
          <w:sz w:val="22"/>
          <w:szCs w:val="22"/>
        </w:rPr>
        <w:t xml:space="preserve">As of December 31, </w:t>
      </w:r>
      <w:r w:rsidR="009B3017" w:rsidRPr="000634A4">
        <w:rPr>
          <w:sz w:val="22"/>
          <w:szCs w:val="22"/>
        </w:rPr>
        <w:t>2022</w:t>
      </w:r>
      <w:r w:rsidR="00341306" w:rsidRPr="000634A4">
        <w:rPr>
          <w:sz w:val="22"/>
          <w:szCs w:val="22"/>
        </w:rPr>
        <w:t>, a</w:t>
      </w:r>
      <w:r w:rsidRPr="000634A4">
        <w:rPr>
          <w:sz w:val="22"/>
          <w:szCs w:val="22"/>
        </w:rPr>
        <w:t xml:space="preserve">ll of the Company’s leases are classified </w:t>
      </w:r>
      <w:r w:rsidR="00341306" w:rsidRPr="000634A4">
        <w:rPr>
          <w:sz w:val="22"/>
          <w:szCs w:val="22"/>
        </w:rPr>
        <w:t>under</w:t>
      </w:r>
      <w:r w:rsidRPr="000634A4">
        <w:rPr>
          <w:sz w:val="22"/>
          <w:szCs w:val="22"/>
        </w:rPr>
        <w:t xml:space="preserve"> operating leases. Operating lease payments are recognized as an operating expense on a straight-line basis over the lease term.</w:t>
      </w:r>
    </w:p>
    <w:p w14:paraId="011BDCA7" w14:textId="77777777" w:rsidR="00A81DCD" w:rsidRPr="000634A4" w:rsidRDefault="00A81DCD" w:rsidP="00A81DCD">
      <w:pPr>
        <w:tabs>
          <w:tab w:val="left" w:pos="-720"/>
        </w:tabs>
        <w:suppressAutoHyphens/>
        <w:spacing w:line="240" w:lineRule="atLeast"/>
        <w:jc w:val="both"/>
        <w:rPr>
          <w:bCs/>
          <w:spacing w:val="-2"/>
          <w:sz w:val="22"/>
          <w:szCs w:val="22"/>
        </w:rPr>
      </w:pPr>
    </w:p>
    <w:p w14:paraId="09764B73" w14:textId="56F42031" w:rsidR="00C15EB6" w:rsidRPr="002746B0" w:rsidRDefault="00A81DCD" w:rsidP="00C15EB6">
      <w:pPr>
        <w:tabs>
          <w:tab w:val="left" w:pos="-720"/>
        </w:tabs>
        <w:suppressAutoHyphens/>
        <w:spacing w:line="240" w:lineRule="atLeast"/>
        <w:ind w:firstLine="720"/>
        <w:jc w:val="both"/>
        <w:rPr>
          <w:iCs/>
          <w:spacing w:val="-2"/>
          <w:sz w:val="22"/>
          <w:szCs w:val="22"/>
        </w:rPr>
      </w:pPr>
      <w:r w:rsidRPr="000634A4">
        <w:rPr>
          <w:b/>
          <w:bCs/>
          <w:spacing w:val="-2"/>
          <w:sz w:val="22"/>
          <w:szCs w:val="22"/>
        </w:rPr>
        <w:t>Accounting for Stock</w:t>
      </w:r>
      <w:r w:rsidRPr="000634A4">
        <w:rPr>
          <w:b/>
          <w:bCs/>
          <w:spacing w:val="-2"/>
          <w:sz w:val="22"/>
          <w:szCs w:val="22"/>
        </w:rPr>
        <w:noBreakHyphen/>
        <w:t>Based Compensation</w:t>
      </w:r>
      <w:r w:rsidRPr="000634A4">
        <w:rPr>
          <w:b/>
          <w:sz w:val="22"/>
          <w:szCs w:val="22"/>
        </w:rPr>
        <w:t xml:space="preserve"> -</w:t>
      </w:r>
      <w:r w:rsidRPr="000634A4">
        <w:rPr>
          <w:sz w:val="22"/>
          <w:szCs w:val="22"/>
        </w:rPr>
        <w:t xml:space="preserve"> T</w:t>
      </w:r>
      <w:r w:rsidRPr="000634A4">
        <w:rPr>
          <w:iCs/>
          <w:spacing w:val="-2"/>
          <w:sz w:val="22"/>
          <w:szCs w:val="22"/>
        </w:rPr>
        <w:t xml:space="preserve">he Company </w:t>
      </w:r>
      <w:r w:rsidRPr="000634A4">
        <w:rPr>
          <w:sz w:val="22"/>
          <w:szCs w:val="22"/>
        </w:rPr>
        <w:t xml:space="preserve">measures and recognizes stock-based compensation expense for all share-based payment awards made to employees and directors based on the estimated fair value at the grant date. The stock-based compensation expense is recognized over the requisite service period. </w:t>
      </w:r>
      <w:r w:rsidR="00C15EB6" w:rsidRPr="002746B0">
        <w:rPr>
          <w:iCs/>
          <w:spacing w:val="-2"/>
          <w:sz w:val="22"/>
          <w:szCs w:val="22"/>
        </w:rPr>
        <w:t xml:space="preserve">The fair value of stock option grants is determined using the Black-Scholes option-pricing model and the fair value of restricted stock units is determined using the Binomial option pricing model. </w:t>
      </w:r>
    </w:p>
    <w:p w14:paraId="2630054C" w14:textId="133EA253" w:rsidR="00A81DCD" w:rsidRPr="000634A4" w:rsidRDefault="00A81DCD" w:rsidP="00E5697A">
      <w:pPr>
        <w:tabs>
          <w:tab w:val="left" w:pos="-720"/>
        </w:tabs>
        <w:suppressAutoHyphens/>
        <w:spacing w:line="240" w:lineRule="atLeast"/>
        <w:ind w:firstLine="720"/>
        <w:jc w:val="both"/>
        <w:rPr>
          <w:sz w:val="22"/>
          <w:szCs w:val="22"/>
        </w:rPr>
      </w:pPr>
      <w:r w:rsidRPr="00C15EB6">
        <w:rPr>
          <w:sz w:val="22"/>
          <w:szCs w:val="22"/>
        </w:rPr>
        <w:t xml:space="preserve"> </w:t>
      </w:r>
    </w:p>
    <w:p w14:paraId="1B47F982" w14:textId="596BC0C7" w:rsidR="00A81DCD" w:rsidRPr="000634A4" w:rsidRDefault="00A81DCD" w:rsidP="00A81DCD">
      <w:pPr>
        <w:tabs>
          <w:tab w:val="left" w:pos="-720"/>
        </w:tabs>
        <w:suppressAutoHyphens/>
        <w:spacing w:line="240" w:lineRule="atLeast"/>
        <w:ind w:firstLine="720"/>
        <w:jc w:val="both"/>
        <w:rPr>
          <w:sz w:val="22"/>
          <w:szCs w:val="22"/>
        </w:rPr>
      </w:pPr>
      <w:r w:rsidRPr="000634A4">
        <w:rPr>
          <w:sz w:val="22"/>
          <w:szCs w:val="22"/>
        </w:rPr>
        <w:t>The stock-based compensation expense related to the Company’s stock plan</w:t>
      </w:r>
      <w:r w:rsidR="00ED1119" w:rsidRPr="000634A4">
        <w:rPr>
          <w:sz w:val="22"/>
          <w:szCs w:val="22"/>
        </w:rPr>
        <w:t>s were</w:t>
      </w:r>
      <w:r w:rsidRPr="000634A4">
        <w:rPr>
          <w:sz w:val="22"/>
          <w:szCs w:val="22"/>
        </w:rPr>
        <w:t xml:space="preserve"> allocated as follows (in thousands):</w:t>
      </w:r>
    </w:p>
    <w:p w14:paraId="14FF2FBB" w14:textId="4E4145C9" w:rsidR="00A81DCD" w:rsidRPr="000634A4" w:rsidRDefault="00C2600F" w:rsidP="00A81DCD">
      <w:pPr>
        <w:ind w:left="1350"/>
        <w:jc w:val="both"/>
        <w:rPr>
          <w:sz w:val="22"/>
          <w:szCs w:val="22"/>
        </w:rPr>
      </w:pPr>
      <w:r w:rsidRPr="000634A4">
        <w:rPr>
          <w:noProof/>
          <w:lang w:eastAsia="zh-CN"/>
        </w:rPr>
        <w:lastRenderedPageBreak/>
        <w:drawing>
          <wp:inline distT="0" distB="0" distL="0" distR="0" wp14:anchorId="130A0651" wp14:editId="2D02D9C4">
            <wp:extent cx="4292600" cy="1422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92600" cy="1422400"/>
                    </a:xfrm>
                    <a:prstGeom prst="rect">
                      <a:avLst/>
                    </a:prstGeom>
                    <a:noFill/>
                    <a:ln>
                      <a:noFill/>
                    </a:ln>
                  </pic:spPr>
                </pic:pic>
              </a:graphicData>
            </a:graphic>
          </wp:inline>
        </w:drawing>
      </w:r>
    </w:p>
    <w:p w14:paraId="49DFD471" w14:textId="77777777" w:rsidR="00E02200" w:rsidRPr="000634A4" w:rsidRDefault="00E02200" w:rsidP="00A81DCD">
      <w:pPr>
        <w:ind w:firstLine="720"/>
        <w:jc w:val="both"/>
        <w:rPr>
          <w:sz w:val="22"/>
          <w:szCs w:val="22"/>
        </w:rPr>
      </w:pPr>
    </w:p>
    <w:p w14:paraId="1CD6CB2D" w14:textId="030FE8BB" w:rsidR="00A81DCD" w:rsidRPr="000634A4" w:rsidRDefault="00A81DCD" w:rsidP="00A81DCD">
      <w:pPr>
        <w:ind w:firstLine="720"/>
        <w:jc w:val="both"/>
        <w:rPr>
          <w:sz w:val="22"/>
          <w:szCs w:val="22"/>
        </w:rPr>
      </w:pPr>
      <w:r w:rsidRPr="000634A4">
        <w:rPr>
          <w:sz w:val="22"/>
          <w:szCs w:val="22"/>
        </w:rPr>
        <w:fldChar w:fldCharType="begin"/>
      </w:r>
      <w:r w:rsidRPr="000634A4">
        <w:rPr>
          <w:sz w:val="22"/>
          <w:szCs w:val="22"/>
        </w:rPr>
        <w:fldChar w:fldCharType="end"/>
      </w:r>
      <w:r w:rsidRPr="000634A4">
        <w:rPr>
          <w:b/>
          <w:bCs/>
          <w:spacing w:val="-2"/>
          <w:sz w:val="22"/>
          <w:szCs w:val="22"/>
        </w:rPr>
        <w:t xml:space="preserve">Fair Value of Financial Instruments </w:t>
      </w:r>
      <w:r w:rsidRPr="000634A4">
        <w:rPr>
          <w:spacing w:val="-2"/>
          <w:sz w:val="22"/>
          <w:szCs w:val="22"/>
        </w:rPr>
        <w:t>-</w:t>
      </w:r>
      <w:r w:rsidRPr="000634A4">
        <w:rPr>
          <w:sz w:val="22"/>
          <w:szCs w:val="22"/>
        </w:rPr>
        <w:t xml:space="preserve"> The carrying amounts of financial instruments approximated their fair value as of December 31, </w:t>
      </w:r>
      <w:r w:rsidR="00E02200" w:rsidRPr="000634A4">
        <w:rPr>
          <w:sz w:val="22"/>
          <w:szCs w:val="22"/>
        </w:rPr>
        <w:t xml:space="preserve">2022 </w:t>
      </w:r>
      <w:r w:rsidRPr="000634A4">
        <w:rPr>
          <w:sz w:val="22"/>
          <w:szCs w:val="22"/>
        </w:rPr>
        <w:t xml:space="preserve">and </w:t>
      </w:r>
      <w:r w:rsidR="00E02200" w:rsidRPr="000634A4">
        <w:rPr>
          <w:sz w:val="22"/>
          <w:szCs w:val="22"/>
        </w:rPr>
        <w:t>2021</w:t>
      </w:r>
      <w:r w:rsidRPr="000634A4">
        <w:rPr>
          <w:sz w:val="22"/>
          <w:szCs w:val="22"/>
        </w:rPr>
        <w:t>, because of the relative short maturity of these instruments.  See Note 14</w:t>
      </w:r>
      <w:r w:rsidR="00695F59" w:rsidRPr="000634A4">
        <w:rPr>
          <w:sz w:val="22"/>
          <w:szCs w:val="22"/>
        </w:rPr>
        <w:t xml:space="preserve">, </w:t>
      </w:r>
      <w:r w:rsidR="00D67DAB" w:rsidRPr="000634A4">
        <w:rPr>
          <w:sz w:val="22"/>
          <w:szCs w:val="22"/>
        </w:rPr>
        <w:t>Derivatives</w:t>
      </w:r>
      <w:r w:rsidRPr="000634A4">
        <w:rPr>
          <w:sz w:val="22"/>
          <w:szCs w:val="22"/>
        </w:rPr>
        <w:t>.</w:t>
      </w:r>
    </w:p>
    <w:p w14:paraId="773D3BF2" w14:textId="77777777" w:rsidR="00A81DCD" w:rsidRPr="000634A4" w:rsidRDefault="00A81DCD" w:rsidP="00A81DCD">
      <w:pPr>
        <w:ind w:firstLine="540"/>
        <w:jc w:val="both"/>
        <w:rPr>
          <w:b/>
          <w:bCs/>
          <w:sz w:val="22"/>
          <w:szCs w:val="22"/>
        </w:rPr>
      </w:pPr>
    </w:p>
    <w:p w14:paraId="0331BD20" w14:textId="77777777" w:rsidR="00A81DCD" w:rsidRPr="000634A4" w:rsidRDefault="00A81DCD" w:rsidP="00A81DCD">
      <w:pPr>
        <w:ind w:firstLine="720"/>
        <w:jc w:val="both"/>
        <w:rPr>
          <w:sz w:val="22"/>
          <w:szCs w:val="22"/>
        </w:rPr>
      </w:pPr>
      <w:r w:rsidRPr="000634A4">
        <w:rPr>
          <w:sz w:val="22"/>
          <w:szCs w:val="22"/>
        </w:rPr>
        <w:t xml:space="preserve">Fair value measurements and disclosures define fair value as the price that would be received for an asset or paid to transfer a liability (an exit price) in the principal or most advantageous market for the asset or liability in an orderly transaction between market participants on the measurement date. </w:t>
      </w:r>
    </w:p>
    <w:p w14:paraId="2631166B" w14:textId="77777777" w:rsidR="00A81DCD" w:rsidRPr="000634A4" w:rsidRDefault="00A81DCD" w:rsidP="00A81DCD">
      <w:pPr>
        <w:ind w:firstLine="540"/>
        <w:jc w:val="both"/>
        <w:rPr>
          <w:sz w:val="22"/>
          <w:szCs w:val="22"/>
        </w:rPr>
      </w:pPr>
    </w:p>
    <w:p w14:paraId="4435DDA4" w14:textId="77777777" w:rsidR="00A81DCD" w:rsidRPr="000634A4" w:rsidRDefault="00A81DCD" w:rsidP="00A81DCD">
      <w:pPr>
        <w:ind w:firstLine="720"/>
        <w:jc w:val="both"/>
        <w:rPr>
          <w:sz w:val="22"/>
          <w:szCs w:val="22"/>
        </w:rPr>
      </w:pPr>
      <w:r w:rsidRPr="000634A4">
        <w:rPr>
          <w:sz w:val="22"/>
          <w:szCs w:val="22"/>
        </w:rPr>
        <w:t>The accounting standard establishes a fair value hierarchy that prioritizes the inputs used to measure fair value into three levels. The three levels are defined as follows:</w:t>
      </w:r>
    </w:p>
    <w:p w14:paraId="6184B418" w14:textId="77777777" w:rsidR="00A81DCD" w:rsidRPr="000634A4" w:rsidRDefault="00A81DCD" w:rsidP="00A81DCD">
      <w:pPr>
        <w:ind w:firstLine="720"/>
        <w:jc w:val="both"/>
        <w:rPr>
          <w:sz w:val="22"/>
          <w:szCs w:val="22"/>
        </w:rPr>
      </w:pPr>
    </w:p>
    <w:p w14:paraId="3AFDDC8D" w14:textId="77777777" w:rsidR="00A81DCD" w:rsidRPr="000634A4" w:rsidRDefault="00A81DCD" w:rsidP="005F7716">
      <w:pPr>
        <w:numPr>
          <w:ilvl w:val="0"/>
          <w:numId w:val="7"/>
        </w:numPr>
        <w:tabs>
          <w:tab w:val="clear" w:pos="1440"/>
          <w:tab w:val="num" w:pos="720"/>
        </w:tabs>
        <w:ind w:hanging="1080"/>
        <w:jc w:val="both"/>
        <w:rPr>
          <w:sz w:val="22"/>
          <w:szCs w:val="22"/>
        </w:rPr>
      </w:pPr>
      <w:r w:rsidRPr="000634A4">
        <w:rPr>
          <w:i/>
          <w:sz w:val="22"/>
          <w:szCs w:val="22"/>
        </w:rPr>
        <w:t>Level 1</w:t>
      </w:r>
      <w:r w:rsidRPr="000634A4">
        <w:rPr>
          <w:sz w:val="22"/>
          <w:szCs w:val="22"/>
        </w:rPr>
        <w:t xml:space="preserve">: Unadjusted quoted price in active market for identical assets and liabilities. </w:t>
      </w:r>
    </w:p>
    <w:p w14:paraId="3802F347" w14:textId="77777777" w:rsidR="00AA18A6" w:rsidRPr="000634A4" w:rsidRDefault="00AA18A6" w:rsidP="005F7716">
      <w:pPr>
        <w:numPr>
          <w:ilvl w:val="0"/>
          <w:numId w:val="7"/>
        </w:numPr>
        <w:tabs>
          <w:tab w:val="clear" w:pos="1440"/>
          <w:tab w:val="num" w:pos="720"/>
        </w:tabs>
        <w:ind w:left="720"/>
        <w:jc w:val="both"/>
        <w:rPr>
          <w:sz w:val="22"/>
          <w:szCs w:val="22"/>
        </w:rPr>
      </w:pPr>
      <w:r w:rsidRPr="000634A4">
        <w:rPr>
          <w:i/>
          <w:sz w:val="22"/>
          <w:szCs w:val="22"/>
        </w:rPr>
        <w:t>Level 2:</w:t>
      </w:r>
      <w:r w:rsidRPr="000634A4">
        <w:rPr>
          <w:sz w:val="22"/>
          <w:szCs w:val="22"/>
        </w:rPr>
        <w:t xml:space="preserve"> Inputs other than those included in Level 1 that are observable for the asset or liability, either directly or indirectly, such as quoted prices for similar assets or liabilities; quoted prices in markets that are not active; or other inputs that are observable or can be corroborated by observable market data for substantially the full term of the assets or liabilities.</w:t>
      </w:r>
    </w:p>
    <w:p w14:paraId="643BAD67" w14:textId="3236C676" w:rsidR="00A81DCD" w:rsidRPr="000634A4" w:rsidRDefault="00A81DCD" w:rsidP="005F7716">
      <w:pPr>
        <w:numPr>
          <w:ilvl w:val="0"/>
          <w:numId w:val="7"/>
        </w:numPr>
        <w:tabs>
          <w:tab w:val="clear" w:pos="1440"/>
          <w:tab w:val="num" w:pos="720"/>
        </w:tabs>
        <w:ind w:left="720"/>
        <w:jc w:val="both"/>
        <w:rPr>
          <w:sz w:val="22"/>
          <w:szCs w:val="22"/>
        </w:rPr>
      </w:pPr>
      <w:r w:rsidRPr="000634A4">
        <w:rPr>
          <w:i/>
          <w:sz w:val="22"/>
          <w:szCs w:val="22"/>
        </w:rPr>
        <w:t>Level 3:</w:t>
      </w:r>
      <w:r w:rsidRPr="000634A4">
        <w:rPr>
          <w:sz w:val="22"/>
          <w:szCs w:val="22"/>
        </w:rPr>
        <w:t xml:space="preserve"> Unobservable inputs reflecting management’s own assumptions about the inputs used in pricing the asset or liability. </w:t>
      </w:r>
    </w:p>
    <w:p w14:paraId="59EEE412" w14:textId="77777777" w:rsidR="00341306" w:rsidRPr="000634A4" w:rsidRDefault="00341306" w:rsidP="00341306">
      <w:pPr>
        <w:ind w:firstLine="540"/>
        <w:jc w:val="both"/>
        <w:rPr>
          <w:sz w:val="22"/>
          <w:szCs w:val="22"/>
        </w:rPr>
      </w:pPr>
    </w:p>
    <w:p w14:paraId="7A68714F" w14:textId="035FF5EC" w:rsidR="00067632" w:rsidRPr="000634A4" w:rsidRDefault="00067632" w:rsidP="00341306">
      <w:pPr>
        <w:ind w:firstLine="540"/>
        <w:jc w:val="both"/>
        <w:rPr>
          <w:sz w:val="22"/>
          <w:szCs w:val="22"/>
        </w:rPr>
      </w:pPr>
      <w:r w:rsidRPr="000634A4">
        <w:rPr>
          <w:sz w:val="22"/>
          <w:szCs w:val="22"/>
        </w:rPr>
        <w:t xml:space="preserve">The </w:t>
      </w:r>
      <w:r w:rsidR="00395183" w:rsidRPr="000634A4">
        <w:rPr>
          <w:sz w:val="22"/>
          <w:szCs w:val="22"/>
        </w:rPr>
        <w:t>C</w:t>
      </w:r>
      <w:r w:rsidRPr="000634A4">
        <w:rPr>
          <w:sz w:val="22"/>
          <w:szCs w:val="22"/>
        </w:rPr>
        <w:t xml:space="preserve">ompany’s </w:t>
      </w:r>
      <w:r w:rsidR="00341306" w:rsidRPr="000634A4">
        <w:rPr>
          <w:sz w:val="22"/>
          <w:szCs w:val="22"/>
        </w:rPr>
        <w:t>forward contracts are at level 2 in the fair value hierarchy.</w:t>
      </w:r>
    </w:p>
    <w:p w14:paraId="6078349D" w14:textId="77777777" w:rsidR="00A81DCD" w:rsidRPr="000634A4" w:rsidRDefault="00A81DCD" w:rsidP="007B5F24">
      <w:pPr>
        <w:ind w:firstLine="540"/>
        <w:jc w:val="both"/>
        <w:rPr>
          <w:sz w:val="22"/>
          <w:szCs w:val="22"/>
        </w:rPr>
      </w:pPr>
    </w:p>
    <w:p w14:paraId="24829E28" w14:textId="1E512DDF" w:rsidR="00666434" w:rsidRPr="000634A4" w:rsidRDefault="00A81DCD" w:rsidP="00A81DCD">
      <w:pPr>
        <w:tabs>
          <w:tab w:val="left" w:pos="-720"/>
        </w:tabs>
        <w:suppressAutoHyphens/>
        <w:spacing w:line="240" w:lineRule="atLeast"/>
        <w:ind w:firstLine="720"/>
        <w:jc w:val="both"/>
        <w:rPr>
          <w:sz w:val="22"/>
          <w:szCs w:val="22"/>
        </w:rPr>
      </w:pPr>
      <w:r w:rsidRPr="000634A4">
        <w:rPr>
          <w:b/>
          <w:bCs/>
          <w:spacing w:val="-2"/>
          <w:sz w:val="22"/>
          <w:szCs w:val="22"/>
        </w:rPr>
        <w:t xml:space="preserve">Accounts Receivable </w:t>
      </w:r>
      <w:r w:rsidRPr="000634A4">
        <w:rPr>
          <w:spacing w:val="-2"/>
          <w:sz w:val="22"/>
          <w:szCs w:val="22"/>
        </w:rPr>
        <w:t xml:space="preserve">- The Company establishes credit terms for new </w:t>
      </w:r>
      <w:r w:rsidR="00FE2D12" w:rsidRPr="000634A4">
        <w:rPr>
          <w:spacing w:val="-2"/>
          <w:sz w:val="22"/>
          <w:szCs w:val="22"/>
        </w:rPr>
        <w:t xml:space="preserve">customers </w:t>
      </w:r>
      <w:r w:rsidRPr="000634A4">
        <w:rPr>
          <w:spacing w:val="-2"/>
          <w:sz w:val="22"/>
          <w:szCs w:val="22"/>
        </w:rPr>
        <w:t xml:space="preserve">based upon management’s review of their credit information and project terms, and performs ongoing credit evaluations of its </w:t>
      </w:r>
      <w:r w:rsidR="00FE2D12" w:rsidRPr="000634A4">
        <w:rPr>
          <w:spacing w:val="-2"/>
          <w:sz w:val="22"/>
          <w:szCs w:val="22"/>
        </w:rPr>
        <w:t>customers</w:t>
      </w:r>
      <w:r w:rsidRPr="000634A4">
        <w:rPr>
          <w:spacing w:val="-2"/>
          <w:sz w:val="22"/>
          <w:szCs w:val="22"/>
        </w:rPr>
        <w:t xml:space="preserve">, adjusting credit terms when management believes appropriate based upon payment history and an assessment of the </w:t>
      </w:r>
      <w:r w:rsidR="00FE2D12" w:rsidRPr="000634A4">
        <w:rPr>
          <w:spacing w:val="-2"/>
          <w:sz w:val="22"/>
          <w:szCs w:val="22"/>
        </w:rPr>
        <w:t xml:space="preserve">customer’s </w:t>
      </w:r>
      <w:r w:rsidRPr="000634A4">
        <w:rPr>
          <w:spacing w:val="-2"/>
          <w:sz w:val="22"/>
          <w:szCs w:val="22"/>
        </w:rPr>
        <w:t xml:space="preserve">current creditworthiness. The Company records an allowance for doubtful accounts for estimated losses resulting from the inability of its </w:t>
      </w:r>
      <w:r w:rsidR="00FE2D12" w:rsidRPr="000634A4">
        <w:rPr>
          <w:spacing w:val="-2"/>
          <w:sz w:val="22"/>
          <w:szCs w:val="22"/>
        </w:rPr>
        <w:t xml:space="preserve">customers </w:t>
      </w:r>
      <w:r w:rsidRPr="000634A4">
        <w:rPr>
          <w:spacing w:val="-2"/>
          <w:sz w:val="22"/>
          <w:szCs w:val="22"/>
        </w:rPr>
        <w:t xml:space="preserve">to make required payments. The Company determines its allowance by considering a number of factors, including the length of time trade accounts receivable are past due (accounts outstanding longer than the payment terms are considered past due), the Company’s previous loss history, the </w:t>
      </w:r>
      <w:r w:rsidR="00FE2D12" w:rsidRPr="000634A4">
        <w:rPr>
          <w:spacing w:val="-2"/>
          <w:sz w:val="22"/>
          <w:szCs w:val="22"/>
        </w:rPr>
        <w:t xml:space="preserve">customer’s </w:t>
      </w:r>
      <w:r w:rsidRPr="000634A4">
        <w:rPr>
          <w:spacing w:val="-2"/>
          <w:sz w:val="22"/>
          <w:szCs w:val="22"/>
        </w:rPr>
        <w:t xml:space="preserve">current ability to pay its obligation to the Company, and the condition of the general economy and the industry as a whole. </w:t>
      </w:r>
      <w:r w:rsidRPr="000634A4">
        <w:rPr>
          <w:bCs/>
          <w:spacing w:val="-2"/>
          <w:sz w:val="22"/>
          <w:szCs w:val="22"/>
        </w:rPr>
        <w:t>This cannot guarantee that credit loss rates in the future will not be greater than those experienced in the past.</w:t>
      </w:r>
      <w:r w:rsidRPr="000634A4">
        <w:rPr>
          <w:spacing w:val="-2"/>
          <w:sz w:val="22"/>
          <w:szCs w:val="22"/>
        </w:rPr>
        <w:t xml:space="preserve"> In addition, there is credit exposure if the financial condition of one of the Company’s major </w:t>
      </w:r>
      <w:r w:rsidR="00FE2D12" w:rsidRPr="000634A4">
        <w:rPr>
          <w:spacing w:val="-2"/>
          <w:sz w:val="22"/>
          <w:szCs w:val="22"/>
        </w:rPr>
        <w:t>customers</w:t>
      </w:r>
      <w:r w:rsidRPr="000634A4">
        <w:rPr>
          <w:spacing w:val="-2"/>
          <w:sz w:val="22"/>
          <w:szCs w:val="22"/>
        </w:rPr>
        <w:t xml:space="preserve"> were to deteriorate. In the event that the financial condition of one of the Company’s </w:t>
      </w:r>
      <w:r w:rsidR="00FE2D12" w:rsidRPr="000634A4">
        <w:rPr>
          <w:spacing w:val="-2"/>
          <w:sz w:val="22"/>
          <w:szCs w:val="22"/>
        </w:rPr>
        <w:t>customers</w:t>
      </w:r>
      <w:r w:rsidRPr="000634A4">
        <w:rPr>
          <w:spacing w:val="-2"/>
          <w:sz w:val="22"/>
          <w:szCs w:val="22"/>
        </w:rPr>
        <w:t xml:space="preserve"> were to deteriorate resulting in an impairment of their ability to make payments, additional allowances may be necessary. </w:t>
      </w:r>
    </w:p>
    <w:p w14:paraId="281383E9" w14:textId="77777777" w:rsidR="00A81DCD" w:rsidRPr="000634A4" w:rsidRDefault="00A81DCD" w:rsidP="00666434">
      <w:pPr>
        <w:tabs>
          <w:tab w:val="left" w:pos="-720"/>
        </w:tabs>
        <w:suppressAutoHyphens/>
        <w:spacing w:line="240" w:lineRule="atLeast"/>
        <w:ind w:firstLine="720"/>
        <w:jc w:val="both"/>
        <w:rPr>
          <w:spacing w:val="-2"/>
          <w:sz w:val="22"/>
          <w:szCs w:val="22"/>
        </w:rPr>
      </w:pPr>
    </w:p>
    <w:p w14:paraId="0FB838B8" w14:textId="696EDCDB" w:rsidR="00A81DCD" w:rsidRPr="000634A4" w:rsidRDefault="00A81DCD" w:rsidP="00A81DCD">
      <w:pPr>
        <w:tabs>
          <w:tab w:val="left" w:pos="-720"/>
        </w:tabs>
        <w:suppressAutoHyphens/>
        <w:spacing w:line="240" w:lineRule="atLeast"/>
        <w:ind w:firstLine="720"/>
        <w:jc w:val="both"/>
        <w:rPr>
          <w:sz w:val="22"/>
          <w:szCs w:val="22"/>
        </w:rPr>
      </w:pPr>
      <w:r w:rsidRPr="000634A4">
        <w:rPr>
          <w:b/>
          <w:sz w:val="22"/>
          <w:szCs w:val="22"/>
        </w:rPr>
        <w:t xml:space="preserve">Concentration of Credit Risk </w:t>
      </w:r>
      <w:r w:rsidRPr="000634A4">
        <w:rPr>
          <w:sz w:val="22"/>
          <w:szCs w:val="22"/>
        </w:rPr>
        <w:t xml:space="preserve">- The Company maintains its cash with highly rated financial </w:t>
      </w:r>
      <w:r w:rsidRPr="000634A4">
        <w:rPr>
          <w:spacing w:val="-2"/>
          <w:sz w:val="22"/>
          <w:szCs w:val="22"/>
        </w:rPr>
        <w:t>i</w:t>
      </w:r>
      <w:r w:rsidRPr="000634A4">
        <w:rPr>
          <w:sz w:val="22"/>
          <w:szCs w:val="22"/>
        </w:rPr>
        <w:t xml:space="preserve">nstitutions, located in the United States and in foreign locations where the Company has its operations. </w:t>
      </w:r>
      <w:r w:rsidRPr="000634A4">
        <w:rPr>
          <w:iCs/>
          <w:spacing w:val="-2"/>
          <w:sz w:val="22"/>
          <w:szCs w:val="22"/>
        </w:rPr>
        <w:t xml:space="preserve">At December 31, </w:t>
      </w:r>
      <w:r w:rsidR="00B2213E" w:rsidRPr="000634A4">
        <w:rPr>
          <w:iCs/>
          <w:spacing w:val="-2"/>
          <w:sz w:val="22"/>
          <w:szCs w:val="22"/>
        </w:rPr>
        <w:t>2022</w:t>
      </w:r>
      <w:r w:rsidRPr="000634A4">
        <w:rPr>
          <w:iCs/>
          <w:spacing w:val="-2"/>
          <w:sz w:val="22"/>
          <w:szCs w:val="22"/>
        </w:rPr>
        <w:t xml:space="preserve">, the Company had cash and cash equivalents of </w:t>
      </w:r>
      <w:r w:rsidR="00DE52B4" w:rsidRPr="000634A4">
        <w:rPr>
          <w:iCs/>
          <w:spacing w:val="-2"/>
          <w:sz w:val="22"/>
          <w:szCs w:val="22"/>
        </w:rPr>
        <w:t>$</w:t>
      </w:r>
      <w:r w:rsidR="005777F0" w:rsidRPr="000634A4">
        <w:rPr>
          <w:iCs/>
          <w:spacing w:val="-2"/>
          <w:sz w:val="22"/>
          <w:szCs w:val="22"/>
        </w:rPr>
        <w:t>9.8</w:t>
      </w:r>
      <w:r w:rsidR="00DE52B4" w:rsidRPr="000634A4">
        <w:rPr>
          <w:iCs/>
          <w:spacing w:val="-2"/>
          <w:sz w:val="22"/>
          <w:szCs w:val="22"/>
        </w:rPr>
        <w:t xml:space="preserve"> </w:t>
      </w:r>
      <w:r w:rsidRPr="000634A4">
        <w:rPr>
          <w:iCs/>
          <w:spacing w:val="-2"/>
          <w:sz w:val="22"/>
          <w:szCs w:val="22"/>
        </w:rPr>
        <w:t xml:space="preserve">million, of which </w:t>
      </w:r>
      <w:r w:rsidR="00DE52B4" w:rsidRPr="000634A4">
        <w:rPr>
          <w:iCs/>
          <w:spacing w:val="-2"/>
          <w:sz w:val="22"/>
          <w:szCs w:val="22"/>
        </w:rPr>
        <w:t>$</w:t>
      </w:r>
      <w:r w:rsidR="00426618">
        <w:rPr>
          <w:iCs/>
          <w:spacing w:val="-2"/>
          <w:sz w:val="22"/>
          <w:szCs w:val="22"/>
        </w:rPr>
        <w:t>3</w:t>
      </w:r>
      <w:r w:rsidR="005777F0" w:rsidRPr="000634A4">
        <w:rPr>
          <w:iCs/>
          <w:spacing w:val="-2"/>
          <w:sz w:val="22"/>
          <w:szCs w:val="22"/>
        </w:rPr>
        <w:t>.</w:t>
      </w:r>
      <w:r w:rsidR="00426618">
        <w:rPr>
          <w:iCs/>
          <w:spacing w:val="-2"/>
          <w:sz w:val="22"/>
          <w:szCs w:val="22"/>
        </w:rPr>
        <w:t>6</w:t>
      </w:r>
      <w:r w:rsidR="00426618" w:rsidRPr="000634A4">
        <w:rPr>
          <w:iCs/>
          <w:spacing w:val="-2"/>
          <w:sz w:val="22"/>
          <w:szCs w:val="22"/>
        </w:rPr>
        <w:t xml:space="preserve"> </w:t>
      </w:r>
      <w:r w:rsidRPr="000634A4">
        <w:rPr>
          <w:iCs/>
          <w:spacing w:val="-2"/>
          <w:sz w:val="22"/>
          <w:szCs w:val="22"/>
        </w:rPr>
        <w:t xml:space="preserve">million was held by its foreign subsidiaries with local banks located mainly in Asia and </w:t>
      </w:r>
      <w:r w:rsidR="00DE52B4" w:rsidRPr="000634A4">
        <w:rPr>
          <w:iCs/>
          <w:spacing w:val="-2"/>
          <w:sz w:val="22"/>
          <w:szCs w:val="22"/>
        </w:rPr>
        <w:t>$</w:t>
      </w:r>
      <w:r w:rsidR="00426618">
        <w:rPr>
          <w:iCs/>
          <w:spacing w:val="-2"/>
          <w:sz w:val="22"/>
          <w:szCs w:val="22"/>
        </w:rPr>
        <w:t>6</w:t>
      </w:r>
      <w:r w:rsidR="005777F0" w:rsidRPr="000634A4">
        <w:rPr>
          <w:iCs/>
          <w:spacing w:val="-2"/>
          <w:sz w:val="22"/>
          <w:szCs w:val="22"/>
        </w:rPr>
        <w:t>.</w:t>
      </w:r>
      <w:r w:rsidR="00426618">
        <w:rPr>
          <w:iCs/>
          <w:spacing w:val="-2"/>
          <w:sz w:val="22"/>
          <w:szCs w:val="22"/>
        </w:rPr>
        <w:t>2</w:t>
      </w:r>
      <w:r w:rsidR="00426618" w:rsidRPr="000634A4">
        <w:rPr>
          <w:iCs/>
          <w:spacing w:val="-2"/>
          <w:sz w:val="22"/>
          <w:szCs w:val="22"/>
        </w:rPr>
        <w:t xml:space="preserve"> </w:t>
      </w:r>
      <w:r w:rsidRPr="000634A4">
        <w:rPr>
          <w:iCs/>
          <w:spacing w:val="-2"/>
          <w:sz w:val="22"/>
          <w:szCs w:val="22"/>
        </w:rPr>
        <w:t xml:space="preserve">million was held in the United States. </w:t>
      </w:r>
      <w:r w:rsidR="00910D9C" w:rsidRPr="000634A4">
        <w:rPr>
          <w:iCs/>
          <w:spacing w:val="-2"/>
          <w:sz w:val="22"/>
          <w:szCs w:val="22"/>
        </w:rPr>
        <w:t>In addition</w:t>
      </w:r>
      <w:r w:rsidR="00AB18E3" w:rsidRPr="000634A4">
        <w:rPr>
          <w:iCs/>
          <w:spacing w:val="-2"/>
          <w:sz w:val="22"/>
          <w:szCs w:val="22"/>
        </w:rPr>
        <w:t>,</w:t>
      </w:r>
      <w:r w:rsidR="00343567" w:rsidRPr="000634A4">
        <w:rPr>
          <w:iCs/>
          <w:spacing w:val="-2"/>
          <w:sz w:val="22"/>
          <w:szCs w:val="22"/>
        </w:rPr>
        <w:t xml:space="preserve"> </w:t>
      </w:r>
      <w:r w:rsidR="002A73E8" w:rsidRPr="000634A4">
        <w:rPr>
          <w:iCs/>
          <w:spacing w:val="-2"/>
          <w:sz w:val="22"/>
          <w:szCs w:val="22"/>
        </w:rPr>
        <w:t xml:space="preserve">we held </w:t>
      </w:r>
      <w:r w:rsidR="00343567" w:rsidRPr="000634A4">
        <w:rPr>
          <w:iCs/>
          <w:spacing w:val="-2"/>
          <w:sz w:val="22"/>
          <w:szCs w:val="22"/>
        </w:rPr>
        <w:t>short term investments of $0.5 million in the United States</w:t>
      </w:r>
      <w:r w:rsidR="003C6F09" w:rsidRPr="000634A4">
        <w:rPr>
          <w:iCs/>
          <w:spacing w:val="-2"/>
          <w:sz w:val="22"/>
          <w:szCs w:val="22"/>
        </w:rPr>
        <w:t>.</w:t>
      </w:r>
      <w:r w:rsidR="009A312C" w:rsidRPr="000634A4">
        <w:rPr>
          <w:iCs/>
          <w:spacing w:val="-2"/>
          <w:sz w:val="22"/>
          <w:szCs w:val="22"/>
        </w:rPr>
        <w:t xml:space="preserve"> </w:t>
      </w:r>
      <w:r w:rsidRPr="000634A4">
        <w:rPr>
          <w:sz w:val="22"/>
          <w:szCs w:val="22"/>
        </w:rPr>
        <w:t xml:space="preserve">To the extent that such cash </w:t>
      </w:r>
      <w:r w:rsidRPr="000634A4">
        <w:rPr>
          <w:sz w:val="22"/>
          <w:szCs w:val="22"/>
        </w:rPr>
        <w:lastRenderedPageBreak/>
        <w:t xml:space="preserve">exceeds the maximum insurance levels, the Company </w:t>
      </w:r>
      <w:r w:rsidR="00ED1119" w:rsidRPr="000634A4">
        <w:rPr>
          <w:sz w:val="22"/>
          <w:szCs w:val="22"/>
        </w:rPr>
        <w:t>is</w:t>
      </w:r>
      <w:r w:rsidRPr="000634A4">
        <w:rPr>
          <w:sz w:val="22"/>
          <w:szCs w:val="22"/>
        </w:rPr>
        <w:t xml:space="preserve"> uninsured. The Company has not experienced any losses in such accounts.</w:t>
      </w:r>
    </w:p>
    <w:p w14:paraId="2964B1BA" w14:textId="77777777" w:rsidR="00A81DCD" w:rsidRPr="000634A4" w:rsidRDefault="00A81DCD" w:rsidP="00A81DCD">
      <w:pPr>
        <w:tabs>
          <w:tab w:val="left" w:pos="-720"/>
        </w:tabs>
        <w:suppressAutoHyphens/>
        <w:spacing w:line="240" w:lineRule="atLeast"/>
        <w:ind w:left="270" w:right="180"/>
        <w:jc w:val="both"/>
        <w:rPr>
          <w:spacing w:val="-2"/>
          <w:sz w:val="22"/>
          <w:szCs w:val="22"/>
        </w:rPr>
      </w:pPr>
    </w:p>
    <w:p w14:paraId="1702FFF8" w14:textId="77777777" w:rsidR="00A81DCD" w:rsidRPr="000634A4" w:rsidRDefault="00A81DCD" w:rsidP="00A81DCD">
      <w:pPr>
        <w:tabs>
          <w:tab w:val="left" w:pos="-720"/>
        </w:tabs>
        <w:suppressAutoHyphens/>
        <w:spacing w:line="240" w:lineRule="atLeast"/>
        <w:ind w:firstLine="720"/>
        <w:jc w:val="both"/>
        <w:rPr>
          <w:sz w:val="22"/>
          <w:szCs w:val="22"/>
        </w:rPr>
      </w:pPr>
      <w:r w:rsidRPr="000634A4">
        <w:rPr>
          <w:b/>
          <w:sz w:val="22"/>
          <w:szCs w:val="22"/>
        </w:rPr>
        <w:t>Income (</w:t>
      </w:r>
      <w:r w:rsidR="00076866" w:rsidRPr="000634A4">
        <w:rPr>
          <w:b/>
          <w:sz w:val="22"/>
          <w:szCs w:val="22"/>
        </w:rPr>
        <w:t>L</w:t>
      </w:r>
      <w:r w:rsidRPr="000634A4">
        <w:rPr>
          <w:b/>
          <w:sz w:val="22"/>
          <w:szCs w:val="22"/>
        </w:rPr>
        <w:t xml:space="preserve">oss) </w:t>
      </w:r>
      <w:r w:rsidRPr="000634A4">
        <w:rPr>
          <w:b/>
          <w:bCs/>
          <w:spacing w:val="-2"/>
          <w:sz w:val="22"/>
          <w:szCs w:val="22"/>
        </w:rPr>
        <w:t xml:space="preserve">per Share </w:t>
      </w:r>
      <w:r w:rsidRPr="000634A4">
        <w:rPr>
          <w:spacing w:val="-2"/>
          <w:sz w:val="22"/>
          <w:szCs w:val="22"/>
        </w:rPr>
        <w:t>–</w:t>
      </w:r>
      <w:r w:rsidRPr="000634A4">
        <w:rPr>
          <w:sz w:val="22"/>
          <w:szCs w:val="22"/>
        </w:rPr>
        <w:t xml:space="preserve"> Income (loss) per share is computed using the weighted-average number of common shares outstanding during the year. Diluted income (loss) per share is computed by considering the impact of the potential issuance of common shares, using the treasury stock method, on the weighted average number of shares outstanding. For those securities that are not convertible into a class of common stock, the “two class” method of computing income (loss) per share is used. </w:t>
      </w:r>
    </w:p>
    <w:p w14:paraId="692286F0" w14:textId="77777777" w:rsidR="00A81DCD" w:rsidRPr="000634A4" w:rsidRDefault="00A81DCD" w:rsidP="00A81DCD">
      <w:pPr>
        <w:tabs>
          <w:tab w:val="left" w:pos="-720"/>
        </w:tabs>
        <w:suppressAutoHyphens/>
        <w:spacing w:line="240" w:lineRule="atLeast"/>
        <w:ind w:right="18" w:firstLine="720"/>
        <w:jc w:val="both"/>
        <w:rPr>
          <w:b/>
          <w:sz w:val="22"/>
          <w:szCs w:val="22"/>
        </w:rPr>
      </w:pPr>
    </w:p>
    <w:p w14:paraId="6C9F87B7" w14:textId="77777777" w:rsidR="00A81DCD" w:rsidRPr="000634A4" w:rsidRDefault="00A81DCD" w:rsidP="00A81DCD">
      <w:pPr>
        <w:tabs>
          <w:tab w:val="left" w:pos="-720"/>
        </w:tabs>
        <w:suppressAutoHyphens/>
        <w:spacing w:line="240" w:lineRule="atLeast"/>
        <w:ind w:right="18" w:firstLine="720"/>
        <w:jc w:val="both"/>
        <w:rPr>
          <w:sz w:val="22"/>
          <w:szCs w:val="22"/>
        </w:rPr>
      </w:pPr>
      <w:r w:rsidRPr="000634A4">
        <w:rPr>
          <w:b/>
          <w:sz w:val="22"/>
          <w:szCs w:val="22"/>
        </w:rPr>
        <w:t xml:space="preserve">Pension - </w:t>
      </w:r>
      <w:r w:rsidRPr="000634A4">
        <w:rPr>
          <w:sz w:val="22"/>
          <w:szCs w:val="22"/>
        </w:rPr>
        <w:t>The Company records annual pension costs based on calculations, which include various actuarial assumptions including discount rates, compensation increases and other assumptions involving demographic factors. The Company reviews its actuarial assumptions on an annual basis and makes modifications to the assumptions based on current rates and trends. The Company believes that the assumptions used in recording its pension obligations are reasonable based on its experience, market conditions and inputs from its actuaries.</w:t>
      </w:r>
    </w:p>
    <w:p w14:paraId="3F267237" w14:textId="77777777" w:rsidR="00A81DCD" w:rsidRPr="000634A4" w:rsidRDefault="00A81DCD" w:rsidP="00A81DCD">
      <w:pPr>
        <w:tabs>
          <w:tab w:val="left" w:pos="-720"/>
        </w:tabs>
        <w:suppressAutoHyphens/>
        <w:spacing w:line="240" w:lineRule="atLeast"/>
        <w:ind w:right="180"/>
        <w:rPr>
          <w:b/>
          <w:sz w:val="22"/>
          <w:szCs w:val="22"/>
        </w:rPr>
      </w:pPr>
    </w:p>
    <w:p w14:paraId="40F86FD6" w14:textId="29E5AF9F" w:rsidR="00A81DCD" w:rsidRPr="000634A4" w:rsidRDefault="00A81DCD" w:rsidP="00444C0A">
      <w:pPr>
        <w:tabs>
          <w:tab w:val="left" w:pos="-720"/>
        </w:tabs>
        <w:suppressAutoHyphens/>
        <w:spacing w:line="240" w:lineRule="atLeast"/>
        <w:ind w:right="18" w:firstLine="720"/>
        <w:jc w:val="both"/>
        <w:rPr>
          <w:sz w:val="22"/>
          <w:szCs w:val="22"/>
        </w:rPr>
      </w:pPr>
      <w:r w:rsidRPr="000634A4">
        <w:rPr>
          <w:b/>
          <w:sz w:val="22"/>
          <w:szCs w:val="22"/>
        </w:rPr>
        <w:t xml:space="preserve">Deferred Revenue </w:t>
      </w:r>
      <w:r w:rsidRPr="000634A4">
        <w:rPr>
          <w:sz w:val="22"/>
          <w:szCs w:val="22"/>
        </w:rPr>
        <w:t xml:space="preserve">- Deferred revenue represents payments received from </w:t>
      </w:r>
      <w:r w:rsidR="00FE2D12" w:rsidRPr="000634A4">
        <w:rPr>
          <w:sz w:val="22"/>
          <w:szCs w:val="22"/>
        </w:rPr>
        <w:t xml:space="preserve">customers </w:t>
      </w:r>
      <w:r w:rsidRPr="000634A4">
        <w:rPr>
          <w:sz w:val="22"/>
          <w:szCs w:val="22"/>
        </w:rPr>
        <w:t>in advance of providing services and amounts deferred if conditions for revenue recognition have not been met. Included in</w:t>
      </w:r>
      <w:r w:rsidR="0048375E" w:rsidRPr="000634A4">
        <w:rPr>
          <w:sz w:val="22"/>
          <w:szCs w:val="22"/>
        </w:rPr>
        <w:t xml:space="preserve"> </w:t>
      </w:r>
      <w:r w:rsidRPr="000634A4">
        <w:rPr>
          <w:sz w:val="22"/>
          <w:szCs w:val="22"/>
        </w:rPr>
        <w:t xml:space="preserve">accrued expenses on the accompanying consolidated balance sheets is deferred revenue amounting to </w:t>
      </w:r>
      <w:r w:rsidR="001D4766" w:rsidRPr="000634A4">
        <w:rPr>
          <w:sz w:val="22"/>
          <w:szCs w:val="22"/>
        </w:rPr>
        <w:t>$</w:t>
      </w:r>
      <w:r w:rsidR="00C53C46" w:rsidRPr="000634A4">
        <w:rPr>
          <w:sz w:val="22"/>
          <w:szCs w:val="22"/>
        </w:rPr>
        <w:t xml:space="preserve">4.4 </w:t>
      </w:r>
      <w:r w:rsidRPr="000634A4">
        <w:rPr>
          <w:sz w:val="22"/>
          <w:szCs w:val="22"/>
        </w:rPr>
        <w:t>million</w:t>
      </w:r>
      <w:r w:rsidR="001D4766" w:rsidRPr="000634A4">
        <w:rPr>
          <w:sz w:val="22"/>
          <w:szCs w:val="22"/>
        </w:rPr>
        <w:t xml:space="preserve"> and $</w:t>
      </w:r>
      <w:r w:rsidR="007D4A09" w:rsidRPr="000634A4">
        <w:rPr>
          <w:sz w:val="22"/>
          <w:szCs w:val="22"/>
        </w:rPr>
        <w:t>4.5</w:t>
      </w:r>
      <w:r w:rsidR="001D4766" w:rsidRPr="000634A4">
        <w:rPr>
          <w:sz w:val="22"/>
          <w:szCs w:val="22"/>
        </w:rPr>
        <w:t xml:space="preserve"> million</w:t>
      </w:r>
      <w:r w:rsidRPr="000634A4">
        <w:rPr>
          <w:sz w:val="22"/>
          <w:szCs w:val="22"/>
        </w:rPr>
        <w:t xml:space="preserve"> </w:t>
      </w:r>
      <w:r w:rsidR="00ED1119" w:rsidRPr="000634A4">
        <w:rPr>
          <w:sz w:val="22"/>
          <w:szCs w:val="22"/>
        </w:rPr>
        <w:t xml:space="preserve">as of </w:t>
      </w:r>
      <w:r w:rsidRPr="000634A4">
        <w:rPr>
          <w:sz w:val="22"/>
          <w:szCs w:val="22"/>
        </w:rPr>
        <w:t xml:space="preserve">December 31, </w:t>
      </w:r>
      <w:r w:rsidR="007D4A09" w:rsidRPr="000634A4">
        <w:rPr>
          <w:sz w:val="22"/>
          <w:szCs w:val="22"/>
        </w:rPr>
        <w:t xml:space="preserve">2022 </w:t>
      </w:r>
      <w:r w:rsidRPr="000634A4">
        <w:rPr>
          <w:sz w:val="22"/>
          <w:szCs w:val="22"/>
        </w:rPr>
        <w:t xml:space="preserve">and </w:t>
      </w:r>
      <w:r w:rsidR="007D4A09" w:rsidRPr="000634A4">
        <w:rPr>
          <w:sz w:val="22"/>
          <w:szCs w:val="22"/>
        </w:rPr>
        <w:t>202</w:t>
      </w:r>
      <w:r w:rsidR="00F51821">
        <w:rPr>
          <w:sz w:val="22"/>
          <w:szCs w:val="22"/>
        </w:rPr>
        <w:t>1</w:t>
      </w:r>
      <w:r w:rsidR="00AB576A" w:rsidRPr="000634A4">
        <w:rPr>
          <w:sz w:val="22"/>
          <w:szCs w:val="22"/>
        </w:rPr>
        <w:t>,</w:t>
      </w:r>
      <w:r w:rsidR="00ED1119" w:rsidRPr="000634A4">
        <w:rPr>
          <w:sz w:val="22"/>
          <w:szCs w:val="22"/>
        </w:rPr>
        <w:t xml:space="preserve"> respectively.</w:t>
      </w:r>
      <w:r w:rsidR="008D5DFA" w:rsidRPr="000634A4">
        <w:rPr>
          <w:sz w:val="22"/>
          <w:szCs w:val="22"/>
        </w:rPr>
        <w:t xml:space="preserve"> </w:t>
      </w:r>
      <w:r w:rsidR="00E86EAD" w:rsidRPr="000634A4">
        <w:rPr>
          <w:sz w:val="22"/>
          <w:szCs w:val="22"/>
        </w:rPr>
        <w:t xml:space="preserve">We expect to recognize </w:t>
      </w:r>
      <w:r w:rsidR="00D67DAB" w:rsidRPr="000634A4">
        <w:rPr>
          <w:sz w:val="22"/>
          <w:szCs w:val="22"/>
        </w:rPr>
        <w:t xml:space="preserve">substantially </w:t>
      </w:r>
      <w:r w:rsidR="00527350" w:rsidRPr="000634A4">
        <w:rPr>
          <w:sz w:val="22"/>
          <w:szCs w:val="22"/>
        </w:rPr>
        <w:t xml:space="preserve">all of </w:t>
      </w:r>
      <w:r w:rsidR="00817366" w:rsidRPr="000634A4">
        <w:rPr>
          <w:sz w:val="22"/>
          <w:szCs w:val="22"/>
        </w:rPr>
        <w:t>these</w:t>
      </w:r>
      <w:r w:rsidR="00017960" w:rsidRPr="000634A4">
        <w:rPr>
          <w:sz w:val="22"/>
          <w:szCs w:val="22"/>
        </w:rPr>
        <w:t xml:space="preserve"> performance obligations </w:t>
      </w:r>
      <w:r w:rsidR="00D274AD" w:rsidRPr="000634A4">
        <w:rPr>
          <w:sz w:val="22"/>
          <w:szCs w:val="22"/>
        </w:rPr>
        <w:t>over</w:t>
      </w:r>
      <w:r w:rsidR="00017960" w:rsidRPr="000634A4">
        <w:rPr>
          <w:sz w:val="22"/>
          <w:szCs w:val="22"/>
        </w:rPr>
        <w:t xml:space="preserve"> the next 12 months.</w:t>
      </w:r>
    </w:p>
    <w:p w14:paraId="15E74601" w14:textId="77777777" w:rsidR="008A4706" w:rsidRPr="000634A4" w:rsidRDefault="008A4706" w:rsidP="00A81DCD">
      <w:pPr>
        <w:tabs>
          <w:tab w:val="left" w:pos="-720"/>
        </w:tabs>
        <w:suppressAutoHyphens/>
        <w:spacing w:line="240" w:lineRule="atLeast"/>
        <w:ind w:right="18" w:firstLine="720"/>
        <w:jc w:val="both"/>
        <w:rPr>
          <w:sz w:val="22"/>
          <w:szCs w:val="22"/>
        </w:rPr>
      </w:pPr>
      <w:bookmarkStart w:id="50" w:name="_Hlk92660759"/>
    </w:p>
    <w:p w14:paraId="47B1FC20" w14:textId="6B8F1FA1" w:rsidR="00A77041" w:rsidRPr="000634A4" w:rsidRDefault="00A81DCD" w:rsidP="00A77041">
      <w:pPr>
        <w:ind w:firstLine="720"/>
        <w:jc w:val="both"/>
        <w:rPr>
          <w:b/>
          <w:sz w:val="22"/>
          <w:szCs w:val="22"/>
        </w:rPr>
      </w:pPr>
      <w:bookmarkStart w:id="51" w:name="_Hlk58436152"/>
      <w:r w:rsidRPr="000634A4">
        <w:rPr>
          <w:b/>
          <w:sz w:val="22"/>
          <w:szCs w:val="22"/>
        </w:rPr>
        <w:t xml:space="preserve">Recent Accounting Pronouncements </w:t>
      </w:r>
      <w:r w:rsidRPr="000634A4">
        <w:rPr>
          <w:sz w:val="22"/>
          <w:szCs w:val="22"/>
        </w:rPr>
        <w:t xml:space="preserve">– </w:t>
      </w:r>
      <w:r w:rsidR="00A77041" w:rsidRPr="000634A4">
        <w:rPr>
          <w:sz w:val="22"/>
          <w:szCs w:val="22"/>
          <w:shd w:val="clear" w:color="auto" w:fill="FFFFFF"/>
        </w:rPr>
        <w:t>In June 2016, the FASB issued ASU No. 2016-13, “Financial Instruments-Credit Losses (Topic 326): Measurement of Credit Losses on Financial Statements” (“ASU 2016-13”). ASU 2016-13 requires a financial asset (or a group of financial assets) measured at amortized cost basis to be presented at the net amount expected to be collected. The allowance for credit losses is a valuation amount that is deducted from the amortized cost basis of the financial asset(s) to present the net carrying value at the amount expected to be collected on the financial asset. In November 2018, the FASB issued ASU No. 2018-19, “Codification Improvements to Topic 326, Financial Instruments-Credit Losses,” which clarifies ASC Topic 326, “Financial Instruments – Credit Losses” and corrects unintended application of the guidance, and in November 2019, the FASB issued ASU No. 2019-11, “Codification Improvements to Topic 326, Financial Instruments-Credit Losses,” which clarifies or addresses specific issues about certain aspects of ASU 2016-13. In March 2020, the FASB issued ASU No. 2020-</w:t>
      </w:r>
      <w:r w:rsidR="00452719" w:rsidRPr="000634A4">
        <w:rPr>
          <w:sz w:val="22"/>
          <w:szCs w:val="22"/>
          <w:shd w:val="clear" w:color="auto" w:fill="FFFFFF"/>
        </w:rPr>
        <w:t>0</w:t>
      </w:r>
      <w:r w:rsidR="0057047B" w:rsidRPr="000634A4">
        <w:rPr>
          <w:sz w:val="22"/>
          <w:szCs w:val="22"/>
          <w:shd w:val="clear" w:color="auto" w:fill="FFFFFF"/>
        </w:rPr>
        <w:t>3</w:t>
      </w:r>
      <w:r w:rsidR="00A77041" w:rsidRPr="000634A4">
        <w:rPr>
          <w:sz w:val="22"/>
          <w:szCs w:val="22"/>
          <w:shd w:val="clear" w:color="auto" w:fill="FFFFFF"/>
        </w:rPr>
        <w:t>, “Codification Improvements to Financial Instruments,” which modifies the measurement of expected credit losses of certain financial instruments. ASU 2016-13 is effective for certain smaller reporting companies for financial statements issued for fiscal years beginning after December 15, 2022 and interim periods within those fiscal years, which will be fiscal 2023 for the Company if it continues to be classified as a smaller reporting company, with early adoption permitted. The Company does not expect that the adoption of the new guidance will have a material impact on the Company’s consolidated financial statements.</w:t>
      </w:r>
    </w:p>
    <w:bookmarkEnd w:id="50"/>
    <w:bookmarkEnd w:id="51"/>
    <w:p w14:paraId="6D76B325" w14:textId="77777777" w:rsidR="00FC48F7" w:rsidRPr="000634A4" w:rsidRDefault="00FC48F7" w:rsidP="00674396">
      <w:pPr>
        <w:ind w:firstLine="720"/>
        <w:jc w:val="both"/>
        <w:rPr>
          <w:b/>
          <w:bCs/>
          <w:spacing w:val="-2"/>
          <w:sz w:val="22"/>
          <w:szCs w:val="22"/>
        </w:rPr>
      </w:pPr>
    </w:p>
    <w:p w14:paraId="5BD4AC35" w14:textId="6BADC4CE" w:rsidR="00A81DCD" w:rsidRPr="000634A4" w:rsidRDefault="0018790C" w:rsidP="005F7716">
      <w:pPr>
        <w:pStyle w:val="ListParagraph"/>
        <w:widowControl/>
        <w:numPr>
          <w:ilvl w:val="0"/>
          <w:numId w:val="8"/>
        </w:numPr>
        <w:autoSpaceDE/>
        <w:autoSpaceDN/>
        <w:adjustRightInd/>
        <w:ind w:hanging="720"/>
        <w:jc w:val="both"/>
        <w:rPr>
          <w:rFonts w:ascii="Times New Roman" w:hAnsi="Times New Roman"/>
          <w:b/>
        </w:rPr>
      </w:pPr>
      <w:r w:rsidRPr="000634A4">
        <w:rPr>
          <w:rFonts w:ascii="Times New Roman" w:hAnsi="Times New Roman"/>
          <w:b/>
        </w:rPr>
        <w:t>Property and equipment</w:t>
      </w:r>
    </w:p>
    <w:p w14:paraId="3616C6D6" w14:textId="4998505F" w:rsidR="00B133A8" w:rsidRPr="000634A4" w:rsidRDefault="00B133A8" w:rsidP="00B133A8">
      <w:pPr>
        <w:jc w:val="both"/>
        <w:rPr>
          <w:b/>
          <w:sz w:val="22"/>
          <w:szCs w:val="22"/>
        </w:rPr>
      </w:pPr>
    </w:p>
    <w:p w14:paraId="0112AF47" w14:textId="77777777" w:rsidR="0018790C" w:rsidRPr="000634A4" w:rsidRDefault="0018790C" w:rsidP="0018790C">
      <w:pPr>
        <w:tabs>
          <w:tab w:val="left" w:pos="0"/>
        </w:tabs>
        <w:suppressAutoHyphens/>
        <w:spacing w:line="240" w:lineRule="atLeast"/>
        <w:ind w:firstLine="720"/>
        <w:jc w:val="both"/>
        <w:rPr>
          <w:iCs/>
          <w:spacing w:val="-2"/>
          <w:sz w:val="22"/>
          <w:szCs w:val="22"/>
        </w:rPr>
      </w:pPr>
      <w:r w:rsidRPr="000634A4">
        <w:rPr>
          <w:iCs/>
          <w:spacing w:val="-2"/>
          <w:sz w:val="22"/>
          <w:szCs w:val="22"/>
        </w:rPr>
        <w:t>Property and equipment, which include amounts recorded under capital leases, are stated at cost less accumulated depreciation and amortization (in thousands), and consist of the following:</w:t>
      </w:r>
    </w:p>
    <w:p w14:paraId="1A7A4BD9" w14:textId="2DD8AC30" w:rsidR="0018790C" w:rsidRPr="000634A4" w:rsidRDefault="00E9394D" w:rsidP="009B345D">
      <w:pPr>
        <w:tabs>
          <w:tab w:val="left" w:pos="-720"/>
        </w:tabs>
        <w:suppressAutoHyphens/>
        <w:spacing w:line="240" w:lineRule="atLeast"/>
        <w:jc w:val="both"/>
        <w:rPr>
          <w:iCs/>
          <w:spacing w:val="-2"/>
          <w:sz w:val="22"/>
          <w:szCs w:val="22"/>
        </w:rPr>
      </w:pPr>
      <w:r w:rsidRPr="000634A4">
        <w:rPr>
          <w:noProof/>
          <w:lang w:eastAsia="zh-CN"/>
        </w:rPr>
        <w:lastRenderedPageBreak/>
        <w:drawing>
          <wp:inline distT="0" distB="0" distL="0" distR="0" wp14:anchorId="6DC38094" wp14:editId="64A29999">
            <wp:extent cx="5905500" cy="1822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0" cy="1822450"/>
                    </a:xfrm>
                    <a:prstGeom prst="rect">
                      <a:avLst/>
                    </a:prstGeom>
                    <a:noFill/>
                    <a:ln>
                      <a:noFill/>
                    </a:ln>
                  </pic:spPr>
                </pic:pic>
              </a:graphicData>
            </a:graphic>
          </wp:inline>
        </w:drawing>
      </w:r>
    </w:p>
    <w:p w14:paraId="60BC9581" w14:textId="6C528121" w:rsidR="0018790C" w:rsidRPr="000634A4" w:rsidRDefault="00F761B0" w:rsidP="00F761B0">
      <w:pPr>
        <w:tabs>
          <w:tab w:val="left" w:pos="-720"/>
          <w:tab w:val="left" w:pos="720"/>
        </w:tabs>
        <w:suppressAutoHyphens/>
        <w:spacing w:line="240" w:lineRule="atLeast"/>
        <w:jc w:val="both"/>
        <w:rPr>
          <w:spacing w:val="-2"/>
          <w:sz w:val="22"/>
          <w:szCs w:val="22"/>
        </w:rPr>
      </w:pPr>
      <w:r w:rsidRPr="000634A4">
        <w:rPr>
          <w:spacing w:val="-2"/>
          <w:sz w:val="22"/>
          <w:szCs w:val="22"/>
        </w:rPr>
        <w:tab/>
      </w:r>
      <w:r w:rsidR="00615F76" w:rsidRPr="000634A4">
        <w:rPr>
          <w:spacing w:val="-2"/>
          <w:sz w:val="22"/>
          <w:szCs w:val="22"/>
        </w:rPr>
        <w:t>The e</w:t>
      </w:r>
      <w:r w:rsidRPr="000634A4">
        <w:rPr>
          <w:spacing w:val="-2"/>
          <w:sz w:val="22"/>
          <w:szCs w:val="22"/>
        </w:rPr>
        <w:t xml:space="preserve">stimated useful lives of the property and equipment range </w:t>
      </w:r>
      <w:r w:rsidR="002036D4" w:rsidRPr="000634A4">
        <w:rPr>
          <w:spacing w:val="-2"/>
          <w:sz w:val="22"/>
          <w:szCs w:val="22"/>
        </w:rPr>
        <w:t>between t</w:t>
      </w:r>
      <w:r w:rsidR="0032202F" w:rsidRPr="000634A4">
        <w:rPr>
          <w:spacing w:val="-2"/>
          <w:sz w:val="22"/>
          <w:szCs w:val="22"/>
        </w:rPr>
        <w:t>wo</w:t>
      </w:r>
      <w:r w:rsidRPr="000634A4">
        <w:rPr>
          <w:spacing w:val="-2"/>
          <w:sz w:val="22"/>
          <w:szCs w:val="22"/>
        </w:rPr>
        <w:t xml:space="preserve"> years</w:t>
      </w:r>
      <w:r w:rsidR="002036D4" w:rsidRPr="000634A4">
        <w:rPr>
          <w:spacing w:val="-2"/>
          <w:sz w:val="22"/>
          <w:szCs w:val="22"/>
        </w:rPr>
        <w:t xml:space="preserve"> and </w:t>
      </w:r>
      <w:r w:rsidR="0062538B" w:rsidRPr="000634A4">
        <w:rPr>
          <w:spacing w:val="-2"/>
          <w:sz w:val="22"/>
          <w:szCs w:val="22"/>
        </w:rPr>
        <w:t>ten</w:t>
      </w:r>
      <w:r w:rsidRPr="000634A4">
        <w:rPr>
          <w:spacing w:val="-2"/>
          <w:sz w:val="22"/>
          <w:szCs w:val="22"/>
        </w:rPr>
        <w:t xml:space="preserve"> years.</w:t>
      </w:r>
      <w:r w:rsidR="00615F76" w:rsidRPr="000634A4">
        <w:rPr>
          <w:spacing w:val="-2"/>
          <w:sz w:val="22"/>
          <w:szCs w:val="22"/>
        </w:rPr>
        <w:t xml:space="preserve"> </w:t>
      </w:r>
      <w:r w:rsidR="0018790C" w:rsidRPr="000634A4">
        <w:rPr>
          <w:spacing w:val="-2"/>
          <w:sz w:val="22"/>
          <w:szCs w:val="22"/>
        </w:rPr>
        <w:t>Depreciation</w:t>
      </w:r>
      <w:r w:rsidRPr="000634A4">
        <w:rPr>
          <w:spacing w:val="-2"/>
          <w:sz w:val="22"/>
          <w:szCs w:val="22"/>
        </w:rPr>
        <w:t xml:space="preserve"> </w:t>
      </w:r>
      <w:r w:rsidR="0018790C" w:rsidRPr="000634A4">
        <w:rPr>
          <w:spacing w:val="-2"/>
          <w:sz w:val="22"/>
          <w:szCs w:val="22"/>
        </w:rPr>
        <w:t xml:space="preserve">and amortization expense of property and equipment </w:t>
      </w:r>
      <w:r w:rsidRPr="000634A4">
        <w:rPr>
          <w:spacing w:val="-2"/>
          <w:sz w:val="22"/>
          <w:szCs w:val="22"/>
        </w:rPr>
        <w:t>were</w:t>
      </w:r>
      <w:r w:rsidR="0018790C" w:rsidRPr="000634A4">
        <w:rPr>
          <w:spacing w:val="-2"/>
          <w:sz w:val="22"/>
          <w:szCs w:val="22"/>
        </w:rPr>
        <w:t xml:space="preserve"> approximately </w:t>
      </w:r>
      <w:r w:rsidR="00BB6C07" w:rsidRPr="000634A4">
        <w:rPr>
          <w:spacing w:val="-2"/>
          <w:sz w:val="22"/>
          <w:szCs w:val="22"/>
        </w:rPr>
        <w:t>$</w:t>
      </w:r>
      <w:r w:rsidR="00D66BDF" w:rsidRPr="000634A4">
        <w:rPr>
          <w:spacing w:val="-2"/>
          <w:sz w:val="22"/>
          <w:szCs w:val="22"/>
        </w:rPr>
        <w:t xml:space="preserve">1.2 </w:t>
      </w:r>
      <w:r w:rsidR="007D4A09" w:rsidRPr="000634A4">
        <w:rPr>
          <w:spacing w:val="-2"/>
          <w:sz w:val="22"/>
          <w:szCs w:val="22"/>
        </w:rPr>
        <w:t>and $</w:t>
      </w:r>
      <w:r w:rsidR="00BB6C07" w:rsidRPr="000634A4">
        <w:rPr>
          <w:spacing w:val="-2"/>
          <w:sz w:val="22"/>
          <w:szCs w:val="22"/>
        </w:rPr>
        <w:t xml:space="preserve">0.9 </w:t>
      </w:r>
      <w:r w:rsidR="0018790C" w:rsidRPr="000634A4">
        <w:rPr>
          <w:spacing w:val="-2"/>
          <w:sz w:val="22"/>
          <w:szCs w:val="22"/>
        </w:rPr>
        <w:t xml:space="preserve">million for the years ended December 31, </w:t>
      </w:r>
      <w:r w:rsidR="007D4A09" w:rsidRPr="000634A4">
        <w:rPr>
          <w:spacing w:val="-2"/>
          <w:sz w:val="22"/>
          <w:szCs w:val="22"/>
        </w:rPr>
        <w:t xml:space="preserve">2022 </w:t>
      </w:r>
      <w:r w:rsidR="0018790C" w:rsidRPr="000634A4">
        <w:rPr>
          <w:spacing w:val="-2"/>
          <w:sz w:val="22"/>
          <w:szCs w:val="22"/>
        </w:rPr>
        <w:t xml:space="preserve">and </w:t>
      </w:r>
      <w:r w:rsidR="007D4A09" w:rsidRPr="000634A4">
        <w:rPr>
          <w:spacing w:val="-2"/>
          <w:sz w:val="22"/>
          <w:szCs w:val="22"/>
        </w:rPr>
        <w:t>2021</w:t>
      </w:r>
      <w:r w:rsidR="0018790C" w:rsidRPr="000634A4">
        <w:rPr>
          <w:spacing w:val="-2"/>
          <w:sz w:val="22"/>
          <w:szCs w:val="22"/>
        </w:rPr>
        <w:t>, respectively.</w:t>
      </w:r>
    </w:p>
    <w:p w14:paraId="4AF5BFF0" w14:textId="4F787232" w:rsidR="00B133A8" w:rsidRPr="000634A4" w:rsidRDefault="00B133A8" w:rsidP="0047358B">
      <w:pPr>
        <w:jc w:val="both"/>
        <w:rPr>
          <w:b/>
          <w:sz w:val="22"/>
          <w:szCs w:val="22"/>
        </w:rPr>
      </w:pPr>
    </w:p>
    <w:p w14:paraId="02E3B0A5" w14:textId="77777777" w:rsidR="00B133A8" w:rsidRPr="000634A4" w:rsidRDefault="00B133A8" w:rsidP="005F7716">
      <w:pPr>
        <w:pStyle w:val="ListParagraph"/>
        <w:widowControl/>
        <w:numPr>
          <w:ilvl w:val="0"/>
          <w:numId w:val="8"/>
        </w:numPr>
        <w:autoSpaceDE/>
        <w:autoSpaceDN/>
        <w:adjustRightInd/>
        <w:ind w:hanging="720"/>
        <w:jc w:val="both"/>
        <w:rPr>
          <w:rFonts w:ascii="Times New Roman" w:hAnsi="Times New Roman"/>
          <w:b/>
        </w:rPr>
      </w:pPr>
      <w:r w:rsidRPr="000634A4">
        <w:rPr>
          <w:rFonts w:ascii="Times New Roman" w:hAnsi="Times New Roman"/>
          <w:b/>
        </w:rPr>
        <w:t>Goodwill and Intangible Assets</w:t>
      </w:r>
    </w:p>
    <w:p w14:paraId="578D3E62" w14:textId="77777777" w:rsidR="00B133A8" w:rsidRPr="000634A4" w:rsidRDefault="00B133A8" w:rsidP="0047358B">
      <w:pPr>
        <w:pStyle w:val="ListParagraph"/>
        <w:widowControl/>
        <w:autoSpaceDE/>
        <w:autoSpaceDN/>
        <w:adjustRightInd/>
        <w:jc w:val="both"/>
        <w:rPr>
          <w:rFonts w:ascii="Times New Roman" w:hAnsi="Times New Roman"/>
          <w:b/>
        </w:rPr>
      </w:pPr>
    </w:p>
    <w:p w14:paraId="56FF4E09" w14:textId="0D0F1D1B" w:rsidR="00721973" w:rsidRPr="000634A4" w:rsidRDefault="00A81DCD" w:rsidP="00A81DCD">
      <w:pPr>
        <w:tabs>
          <w:tab w:val="left" w:pos="-720"/>
          <w:tab w:val="left" w:pos="720"/>
        </w:tabs>
        <w:suppressAutoHyphens/>
        <w:spacing w:line="240" w:lineRule="atLeast"/>
        <w:jc w:val="both"/>
        <w:rPr>
          <w:spacing w:val="-2"/>
          <w:sz w:val="22"/>
          <w:szCs w:val="22"/>
        </w:rPr>
      </w:pPr>
      <w:r w:rsidRPr="000634A4">
        <w:rPr>
          <w:spacing w:val="-2"/>
          <w:sz w:val="22"/>
          <w:szCs w:val="22"/>
        </w:rPr>
        <w:tab/>
        <w:t xml:space="preserve">The changes in the carrying amount of goodwill </w:t>
      </w:r>
      <w:r w:rsidR="00721973" w:rsidRPr="000634A4">
        <w:rPr>
          <w:spacing w:val="-2"/>
          <w:sz w:val="22"/>
          <w:szCs w:val="22"/>
        </w:rPr>
        <w:t>for the year ended</w:t>
      </w:r>
      <w:r w:rsidRPr="000634A4">
        <w:rPr>
          <w:spacing w:val="-2"/>
          <w:sz w:val="22"/>
          <w:szCs w:val="22"/>
        </w:rPr>
        <w:t xml:space="preserve"> December 31, </w:t>
      </w:r>
      <w:r w:rsidR="007D4A09" w:rsidRPr="000634A4">
        <w:rPr>
          <w:spacing w:val="-2"/>
          <w:sz w:val="22"/>
          <w:szCs w:val="22"/>
        </w:rPr>
        <w:t xml:space="preserve">2022 </w:t>
      </w:r>
      <w:r w:rsidR="00A36EA7" w:rsidRPr="000634A4">
        <w:rPr>
          <w:spacing w:val="-2"/>
          <w:sz w:val="22"/>
          <w:szCs w:val="22"/>
        </w:rPr>
        <w:t>w</w:t>
      </w:r>
      <w:r w:rsidR="00406F31">
        <w:rPr>
          <w:spacing w:val="-2"/>
          <w:sz w:val="22"/>
          <w:szCs w:val="22"/>
        </w:rPr>
        <w:t>ere</w:t>
      </w:r>
      <w:r w:rsidR="007224D2" w:rsidRPr="000634A4">
        <w:rPr>
          <w:spacing w:val="-2"/>
          <w:sz w:val="22"/>
          <w:szCs w:val="22"/>
        </w:rPr>
        <w:t xml:space="preserve"> </w:t>
      </w:r>
      <w:r w:rsidRPr="000634A4">
        <w:rPr>
          <w:spacing w:val="-2"/>
          <w:sz w:val="22"/>
          <w:szCs w:val="22"/>
        </w:rPr>
        <w:t>as follows (in thousands):</w:t>
      </w:r>
    </w:p>
    <w:p w14:paraId="7BFCE5D0" w14:textId="3430CB12" w:rsidR="00A81DCD" w:rsidRPr="000634A4" w:rsidRDefault="00E9394D" w:rsidP="00A77041">
      <w:pPr>
        <w:tabs>
          <w:tab w:val="left" w:pos="-720"/>
        </w:tabs>
        <w:suppressAutoHyphens/>
        <w:spacing w:line="240" w:lineRule="atLeast"/>
        <w:ind w:right="18"/>
        <w:jc w:val="center"/>
        <w:rPr>
          <w:spacing w:val="-2"/>
          <w:sz w:val="22"/>
          <w:szCs w:val="22"/>
        </w:rPr>
      </w:pPr>
      <w:r w:rsidRPr="000634A4">
        <w:rPr>
          <w:spacing w:val="-2"/>
          <w:sz w:val="22"/>
          <w:szCs w:val="22"/>
        </w:rPr>
        <w:t xml:space="preserve"> </w:t>
      </w:r>
      <w:r w:rsidRPr="000634A4">
        <w:rPr>
          <w:noProof/>
          <w:lang w:eastAsia="zh-CN"/>
        </w:rPr>
        <w:drawing>
          <wp:inline distT="0" distB="0" distL="0" distR="0" wp14:anchorId="4DFC2F5C" wp14:editId="562BF031">
            <wp:extent cx="4260850" cy="95885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60850" cy="958850"/>
                    </a:xfrm>
                    <a:prstGeom prst="rect">
                      <a:avLst/>
                    </a:prstGeom>
                    <a:noFill/>
                    <a:ln>
                      <a:noFill/>
                    </a:ln>
                  </pic:spPr>
                </pic:pic>
              </a:graphicData>
            </a:graphic>
          </wp:inline>
        </w:drawing>
      </w:r>
    </w:p>
    <w:p w14:paraId="68DD28A1" w14:textId="29EE7251" w:rsidR="00E50C97" w:rsidRPr="000634A4" w:rsidRDefault="008A57C6" w:rsidP="00E50C97">
      <w:pPr>
        <w:ind w:firstLine="720"/>
        <w:jc w:val="both"/>
        <w:rPr>
          <w:spacing w:val="-2"/>
          <w:sz w:val="22"/>
          <w:szCs w:val="22"/>
        </w:rPr>
      </w:pPr>
      <w:r w:rsidRPr="000634A4">
        <w:rPr>
          <w:spacing w:val="-2"/>
          <w:sz w:val="22"/>
          <w:szCs w:val="22"/>
        </w:rPr>
        <w:t xml:space="preserve">As of September 30, 2022, the Company performed its annual goodwill impairment analysis on one of its reporting units, the Agility segment. The Company also tested </w:t>
      </w:r>
      <w:r w:rsidR="00B51301" w:rsidRPr="000634A4">
        <w:rPr>
          <w:spacing w:val="-2"/>
          <w:sz w:val="22"/>
          <w:szCs w:val="22"/>
        </w:rPr>
        <w:t xml:space="preserve">the </w:t>
      </w:r>
      <w:r w:rsidRPr="000634A4">
        <w:rPr>
          <w:spacing w:val="-2"/>
          <w:sz w:val="22"/>
          <w:szCs w:val="22"/>
        </w:rPr>
        <w:t xml:space="preserve">intangible assets </w:t>
      </w:r>
      <w:r w:rsidR="00B51301" w:rsidRPr="000634A4">
        <w:rPr>
          <w:spacing w:val="-2"/>
          <w:sz w:val="22"/>
          <w:szCs w:val="22"/>
        </w:rPr>
        <w:t xml:space="preserve">of </w:t>
      </w:r>
      <w:r w:rsidRPr="000634A4">
        <w:rPr>
          <w:spacing w:val="-2"/>
          <w:sz w:val="22"/>
          <w:szCs w:val="22"/>
        </w:rPr>
        <w:t>the Agility and Synodex segments</w:t>
      </w:r>
      <w:r w:rsidR="00B51301" w:rsidRPr="000634A4">
        <w:rPr>
          <w:spacing w:val="-2"/>
          <w:sz w:val="22"/>
          <w:szCs w:val="22"/>
        </w:rPr>
        <w:t xml:space="preserve"> for impairment</w:t>
      </w:r>
      <w:r w:rsidRPr="000634A4">
        <w:rPr>
          <w:spacing w:val="-2"/>
          <w:sz w:val="22"/>
          <w:szCs w:val="22"/>
        </w:rPr>
        <w:t>. The impairment test involves estimating the fair value based on a combination of income (estimates of future discounted cash flows) and the market approach (market multiples for similar companies) using unobservable inputs (Level 3).</w:t>
      </w:r>
      <w:r w:rsidR="001965D2" w:rsidRPr="000634A4">
        <w:rPr>
          <w:spacing w:val="-2"/>
          <w:sz w:val="22"/>
          <w:szCs w:val="22"/>
        </w:rPr>
        <w:t xml:space="preserve"> </w:t>
      </w:r>
      <w:r w:rsidRPr="000634A4">
        <w:rPr>
          <w:spacing w:val="-2"/>
          <w:sz w:val="22"/>
          <w:szCs w:val="22"/>
        </w:rPr>
        <w:t xml:space="preserve">The income approach uses a discounted cash flow ("DCF") method that utilizes the present value of cash flows to estimate the segment's fair value. The future cash flows of the segment were projected based on the Company's estimates of future revenue, operating income, and other factors such as working capital and capital expenditures. As part of the DCF analysis, the Company projected revenue and operating profits and assumed long-term revenue growth rates in the terminal year. The market approach utilizes multiples of revenues and earnings before interest expense, taxes, depreciation, and amortization ("EBITDA") to estimate the segment's fair value. The market multiples used for the segment were based on a group of comparable companies' market multiples applied to the Company's revenue. The Company concluded that there is no impairment of goodwill </w:t>
      </w:r>
      <w:r w:rsidR="00B51301" w:rsidRPr="000634A4">
        <w:rPr>
          <w:spacing w:val="-2"/>
          <w:sz w:val="22"/>
          <w:szCs w:val="22"/>
        </w:rPr>
        <w:t xml:space="preserve">or </w:t>
      </w:r>
      <w:r w:rsidRPr="000634A4">
        <w:rPr>
          <w:spacing w:val="-2"/>
          <w:sz w:val="22"/>
          <w:szCs w:val="22"/>
        </w:rPr>
        <w:t xml:space="preserve">intangible assets for the Agility </w:t>
      </w:r>
      <w:r w:rsidR="00B51301" w:rsidRPr="000634A4">
        <w:rPr>
          <w:spacing w:val="-2"/>
          <w:sz w:val="22"/>
          <w:szCs w:val="22"/>
        </w:rPr>
        <w:t xml:space="preserve">segment, </w:t>
      </w:r>
      <w:r w:rsidRPr="000634A4">
        <w:rPr>
          <w:spacing w:val="-2"/>
          <w:sz w:val="22"/>
          <w:szCs w:val="22"/>
        </w:rPr>
        <w:t xml:space="preserve">and </w:t>
      </w:r>
      <w:r w:rsidR="00B51301" w:rsidRPr="000634A4">
        <w:rPr>
          <w:spacing w:val="-2"/>
          <w:sz w:val="22"/>
          <w:szCs w:val="22"/>
        </w:rPr>
        <w:t xml:space="preserve">no impairment of intangible assets for the </w:t>
      </w:r>
      <w:r w:rsidRPr="000634A4">
        <w:rPr>
          <w:spacing w:val="-2"/>
          <w:sz w:val="22"/>
          <w:szCs w:val="22"/>
        </w:rPr>
        <w:t>Synodex segments.</w:t>
      </w:r>
    </w:p>
    <w:p w14:paraId="3335DD90" w14:textId="77777777" w:rsidR="00B51301" w:rsidRPr="000634A4" w:rsidRDefault="00B51301" w:rsidP="00E50C97">
      <w:pPr>
        <w:ind w:firstLine="720"/>
        <w:jc w:val="both"/>
        <w:rPr>
          <w:color w:val="000000"/>
          <w:sz w:val="22"/>
          <w:szCs w:val="22"/>
        </w:rPr>
      </w:pPr>
    </w:p>
    <w:p w14:paraId="7FD234F7" w14:textId="5AC12553" w:rsidR="00A81DCD" w:rsidRPr="000634A4" w:rsidRDefault="00091488" w:rsidP="00674396">
      <w:pPr>
        <w:tabs>
          <w:tab w:val="left" w:pos="-720"/>
          <w:tab w:val="left" w:pos="0"/>
        </w:tabs>
        <w:suppressAutoHyphens/>
        <w:spacing w:line="240" w:lineRule="atLeast"/>
        <w:jc w:val="both"/>
        <w:rPr>
          <w:spacing w:val="-2"/>
          <w:sz w:val="22"/>
          <w:szCs w:val="22"/>
        </w:rPr>
      </w:pPr>
      <w:r w:rsidRPr="000634A4">
        <w:rPr>
          <w:spacing w:val="-2"/>
          <w:sz w:val="22"/>
          <w:szCs w:val="22"/>
        </w:rPr>
        <w:tab/>
      </w:r>
      <w:r w:rsidR="00A81DCD" w:rsidRPr="000634A4">
        <w:rPr>
          <w:spacing w:val="-2"/>
          <w:sz w:val="22"/>
          <w:szCs w:val="22"/>
        </w:rPr>
        <w:t>The fair value measurement of goodwill</w:t>
      </w:r>
      <w:r w:rsidR="00780134" w:rsidRPr="000634A4">
        <w:rPr>
          <w:spacing w:val="-2"/>
          <w:sz w:val="22"/>
          <w:szCs w:val="22"/>
        </w:rPr>
        <w:t xml:space="preserve"> </w:t>
      </w:r>
      <w:r w:rsidR="005C791E" w:rsidRPr="000634A4">
        <w:rPr>
          <w:spacing w:val="-2"/>
          <w:sz w:val="22"/>
          <w:szCs w:val="22"/>
        </w:rPr>
        <w:t>for the Agility</w:t>
      </w:r>
      <w:r w:rsidR="00780134" w:rsidRPr="000634A4">
        <w:rPr>
          <w:spacing w:val="-2"/>
          <w:sz w:val="22"/>
          <w:szCs w:val="22"/>
        </w:rPr>
        <w:t xml:space="preserve"> segment</w:t>
      </w:r>
      <w:r w:rsidR="00A81DCD" w:rsidRPr="000634A4">
        <w:rPr>
          <w:spacing w:val="-2"/>
          <w:sz w:val="22"/>
          <w:szCs w:val="22"/>
        </w:rPr>
        <w:t xml:space="preserve"> was classified within Level 3 of the fair value hierarchy because the Company used the income approach, which utilizes significant inputs that are unobservable in the market</w:t>
      </w:r>
      <w:r w:rsidR="00393F42" w:rsidRPr="000634A4">
        <w:rPr>
          <w:spacing w:val="-2"/>
          <w:sz w:val="22"/>
          <w:szCs w:val="22"/>
        </w:rPr>
        <w:t xml:space="preserve"> and the market multiple approach</w:t>
      </w:r>
      <w:r w:rsidR="00633392" w:rsidRPr="000634A4">
        <w:rPr>
          <w:spacing w:val="-2"/>
          <w:sz w:val="22"/>
          <w:szCs w:val="22"/>
        </w:rPr>
        <w:t>es</w:t>
      </w:r>
      <w:r w:rsidR="00393F42" w:rsidRPr="000634A4">
        <w:rPr>
          <w:spacing w:val="-2"/>
          <w:sz w:val="22"/>
          <w:szCs w:val="22"/>
        </w:rPr>
        <w:t xml:space="preserve"> using comparable entities to further validate the carrying values</w:t>
      </w:r>
      <w:r w:rsidR="00A81DCD" w:rsidRPr="000634A4">
        <w:rPr>
          <w:spacing w:val="-2"/>
          <w:sz w:val="22"/>
          <w:szCs w:val="22"/>
        </w:rPr>
        <w:t>. The Company believes it made reasonable estimates and assumptions to calculate the fair value of the reporting unit as of the impairment test measurement date</w:t>
      </w:r>
      <w:r w:rsidR="00A74CBB" w:rsidRPr="000634A4">
        <w:rPr>
          <w:spacing w:val="-2"/>
          <w:sz w:val="22"/>
          <w:szCs w:val="22"/>
        </w:rPr>
        <w:t xml:space="preserve">. </w:t>
      </w:r>
      <w:r w:rsidR="00A74CBB" w:rsidRPr="000634A4">
        <w:rPr>
          <w:sz w:val="22"/>
          <w:szCs w:val="22"/>
        </w:rPr>
        <w:t xml:space="preserve">The </w:t>
      </w:r>
      <w:r w:rsidR="009B61F5" w:rsidRPr="000634A4">
        <w:rPr>
          <w:sz w:val="22"/>
          <w:szCs w:val="22"/>
        </w:rPr>
        <w:t>carrying</w:t>
      </w:r>
      <w:r w:rsidR="00A74CBB" w:rsidRPr="000634A4">
        <w:rPr>
          <w:sz w:val="22"/>
          <w:szCs w:val="22"/>
        </w:rPr>
        <w:t xml:space="preserve"> value of Goodwill w</w:t>
      </w:r>
      <w:r w:rsidR="009B61F5" w:rsidRPr="000634A4">
        <w:rPr>
          <w:sz w:val="22"/>
          <w:szCs w:val="22"/>
        </w:rPr>
        <w:t xml:space="preserve">as </w:t>
      </w:r>
      <w:r w:rsidR="00A74CBB" w:rsidRPr="000634A4">
        <w:rPr>
          <w:sz w:val="22"/>
          <w:szCs w:val="22"/>
        </w:rPr>
        <w:t>$</w:t>
      </w:r>
      <w:r w:rsidR="00D66BDF" w:rsidRPr="000634A4">
        <w:rPr>
          <w:sz w:val="22"/>
          <w:szCs w:val="22"/>
        </w:rPr>
        <w:t xml:space="preserve">2.0 </w:t>
      </w:r>
      <w:r w:rsidR="008A57C6" w:rsidRPr="000634A4">
        <w:rPr>
          <w:sz w:val="22"/>
          <w:szCs w:val="22"/>
        </w:rPr>
        <w:t>and $</w:t>
      </w:r>
      <w:r w:rsidR="00524CD7" w:rsidRPr="000634A4">
        <w:rPr>
          <w:sz w:val="22"/>
          <w:szCs w:val="22"/>
        </w:rPr>
        <w:t>2.1 million</w:t>
      </w:r>
      <w:r w:rsidR="00A74CBB" w:rsidRPr="000634A4">
        <w:rPr>
          <w:sz w:val="22"/>
          <w:szCs w:val="22"/>
        </w:rPr>
        <w:t xml:space="preserve"> </w:t>
      </w:r>
      <w:r w:rsidR="00362FE3" w:rsidRPr="000634A4">
        <w:rPr>
          <w:sz w:val="22"/>
          <w:szCs w:val="22"/>
        </w:rPr>
        <w:t xml:space="preserve">as of </w:t>
      </w:r>
      <w:r w:rsidR="00A74CBB" w:rsidRPr="000634A4">
        <w:rPr>
          <w:sz w:val="22"/>
          <w:szCs w:val="22"/>
        </w:rPr>
        <w:t xml:space="preserve">December 31, </w:t>
      </w:r>
      <w:r w:rsidR="008A57C6" w:rsidRPr="000634A4">
        <w:rPr>
          <w:sz w:val="22"/>
          <w:szCs w:val="22"/>
        </w:rPr>
        <w:t>2022</w:t>
      </w:r>
      <w:r w:rsidR="00633392" w:rsidRPr="000634A4">
        <w:rPr>
          <w:sz w:val="22"/>
          <w:szCs w:val="22"/>
        </w:rPr>
        <w:t>,</w:t>
      </w:r>
      <w:r w:rsidR="00A74CBB" w:rsidRPr="000634A4">
        <w:rPr>
          <w:sz w:val="22"/>
          <w:szCs w:val="22"/>
        </w:rPr>
        <w:t xml:space="preserve"> and </w:t>
      </w:r>
      <w:r w:rsidR="008A57C6" w:rsidRPr="000634A4">
        <w:rPr>
          <w:sz w:val="22"/>
          <w:szCs w:val="22"/>
        </w:rPr>
        <w:t>2021</w:t>
      </w:r>
      <w:r w:rsidR="00A74CBB" w:rsidRPr="000634A4">
        <w:rPr>
          <w:sz w:val="22"/>
          <w:szCs w:val="22"/>
        </w:rPr>
        <w:t>. </w:t>
      </w:r>
    </w:p>
    <w:p w14:paraId="3E46D31A" w14:textId="77777777" w:rsidR="00A81DCD" w:rsidRPr="000634A4" w:rsidRDefault="00A81DCD" w:rsidP="00A81DCD">
      <w:pPr>
        <w:tabs>
          <w:tab w:val="left" w:pos="-720"/>
          <w:tab w:val="left" w:pos="720"/>
        </w:tabs>
        <w:suppressAutoHyphens/>
        <w:spacing w:line="240" w:lineRule="atLeast"/>
        <w:jc w:val="both"/>
        <w:rPr>
          <w:spacing w:val="-2"/>
          <w:sz w:val="22"/>
          <w:szCs w:val="22"/>
        </w:rPr>
      </w:pPr>
    </w:p>
    <w:p w14:paraId="3E1D7186" w14:textId="7F6160A5" w:rsidR="00A81DCD" w:rsidRPr="000634A4" w:rsidRDefault="00A81DCD" w:rsidP="00A81DCD">
      <w:pPr>
        <w:tabs>
          <w:tab w:val="left" w:pos="-720"/>
          <w:tab w:val="left" w:pos="720"/>
        </w:tabs>
        <w:suppressAutoHyphens/>
        <w:spacing w:line="240" w:lineRule="atLeast"/>
        <w:jc w:val="both"/>
        <w:rPr>
          <w:spacing w:val="-2"/>
          <w:sz w:val="22"/>
          <w:szCs w:val="22"/>
        </w:rPr>
      </w:pPr>
      <w:r w:rsidRPr="000634A4">
        <w:rPr>
          <w:spacing w:val="-2"/>
          <w:sz w:val="22"/>
          <w:szCs w:val="22"/>
        </w:rPr>
        <w:tab/>
        <w:t xml:space="preserve">Information regarding </w:t>
      </w:r>
      <w:r w:rsidR="00356B94" w:rsidRPr="000634A4">
        <w:rPr>
          <w:spacing w:val="-2"/>
          <w:sz w:val="22"/>
          <w:szCs w:val="22"/>
        </w:rPr>
        <w:t>the Company</w:t>
      </w:r>
      <w:r w:rsidRPr="000634A4">
        <w:rPr>
          <w:spacing w:val="-2"/>
          <w:sz w:val="22"/>
          <w:szCs w:val="22"/>
        </w:rPr>
        <w:t xml:space="preserve"> acqui</w:t>
      </w:r>
      <w:r w:rsidR="00356B94" w:rsidRPr="000634A4">
        <w:rPr>
          <w:spacing w:val="-2"/>
          <w:sz w:val="22"/>
          <w:szCs w:val="22"/>
        </w:rPr>
        <w:t>red</w:t>
      </w:r>
      <w:r w:rsidRPr="000634A4">
        <w:rPr>
          <w:spacing w:val="-2"/>
          <w:sz w:val="22"/>
          <w:szCs w:val="22"/>
        </w:rPr>
        <w:t xml:space="preserve"> intangible assets </w:t>
      </w:r>
      <w:r w:rsidR="00852050" w:rsidRPr="000634A4">
        <w:rPr>
          <w:spacing w:val="-2"/>
          <w:sz w:val="22"/>
          <w:szCs w:val="22"/>
        </w:rPr>
        <w:t>and capitalized</w:t>
      </w:r>
      <w:r w:rsidR="00356B94" w:rsidRPr="000634A4">
        <w:rPr>
          <w:spacing w:val="-2"/>
          <w:sz w:val="22"/>
          <w:szCs w:val="22"/>
        </w:rPr>
        <w:t xml:space="preserve"> developed</w:t>
      </w:r>
      <w:r w:rsidR="00852050" w:rsidRPr="000634A4">
        <w:rPr>
          <w:spacing w:val="-2"/>
          <w:sz w:val="22"/>
          <w:szCs w:val="22"/>
        </w:rPr>
        <w:t xml:space="preserve"> software wa</w:t>
      </w:r>
      <w:r w:rsidR="00244C32" w:rsidRPr="000634A4">
        <w:rPr>
          <w:spacing w:val="-2"/>
          <w:sz w:val="22"/>
          <w:szCs w:val="22"/>
        </w:rPr>
        <w:t xml:space="preserve">s </w:t>
      </w:r>
      <w:r w:rsidRPr="000634A4">
        <w:rPr>
          <w:spacing w:val="-2"/>
          <w:sz w:val="22"/>
          <w:szCs w:val="22"/>
        </w:rPr>
        <w:t>as follows</w:t>
      </w:r>
      <w:r w:rsidR="00780134" w:rsidRPr="000634A4">
        <w:rPr>
          <w:spacing w:val="-2"/>
          <w:sz w:val="22"/>
          <w:szCs w:val="22"/>
        </w:rPr>
        <w:t xml:space="preserve"> </w:t>
      </w:r>
      <w:r w:rsidRPr="000634A4">
        <w:rPr>
          <w:spacing w:val="-2"/>
          <w:sz w:val="22"/>
          <w:szCs w:val="22"/>
        </w:rPr>
        <w:t>(in thousands):</w:t>
      </w:r>
    </w:p>
    <w:p w14:paraId="0D9183CB" w14:textId="3EC1C555" w:rsidR="00FC1AC1" w:rsidRPr="000634A4" w:rsidRDefault="003C7582" w:rsidP="00A81DCD">
      <w:pPr>
        <w:tabs>
          <w:tab w:val="left" w:pos="-720"/>
        </w:tabs>
        <w:suppressAutoHyphens/>
        <w:spacing w:line="240" w:lineRule="atLeast"/>
        <w:jc w:val="center"/>
        <w:rPr>
          <w:spacing w:val="-2"/>
          <w:sz w:val="22"/>
          <w:szCs w:val="22"/>
        </w:rPr>
      </w:pPr>
      <w:r w:rsidRPr="000634A4">
        <w:rPr>
          <w:noProof/>
          <w:lang w:eastAsia="zh-CN"/>
        </w:rPr>
        <w:lastRenderedPageBreak/>
        <w:drawing>
          <wp:inline distT="0" distB="0" distL="0" distR="0" wp14:anchorId="78F01620" wp14:editId="459997A3">
            <wp:extent cx="6183630" cy="21920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83630" cy="2192020"/>
                    </a:xfrm>
                    <a:prstGeom prst="rect">
                      <a:avLst/>
                    </a:prstGeom>
                    <a:noFill/>
                    <a:ln>
                      <a:noFill/>
                    </a:ln>
                  </pic:spPr>
                </pic:pic>
              </a:graphicData>
            </a:graphic>
          </wp:inline>
        </w:drawing>
      </w:r>
    </w:p>
    <w:p w14:paraId="6CF0DAF0" w14:textId="2ABC221A" w:rsidR="0009457F" w:rsidRPr="000634A4" w:rsidRDefault="00524CD7" w:rsidP="00A81DCD">
      <w:pPr>
        <w:tabs>
          <w:tab w:val="left" w:pos="-720"/>
        </w:tabs>
        <w:suppressAutoHyphens/>
        <w:spacing w:line="240" w:lineRule="atLeast"/>
        <w:jc w:val="center"/>
        <w:rPr>
          <w:spacing w:val="-2"/>
          <w:sz w:val="22"/>
          <w:szCs w:val="22"/>
        </w:rPr>
      </w:pPr>
      <w:r w:rsidRPr="000634A4">
        <w:rPr>
          <w:spacing w:val="-2"/>
          <w:sz w:val="22"/>
          <w:szCs w:val="22"/>
        </w:rPr>
        <w:t xml:space="preserve"> </w:t>
      </w:r>
      <w:r w:rsidR="0009457F" w:rsidRPr="000634A4">
        <w:rPr>
          <w:spacing w:val="-2"/>
          <w:sz w:val="22"/>
          <w:szCs w:val="22"/>
        </w:rPr>
        <w:t xml:space="preserve"> </w:t>
      </w:r>
      <w:r w:rsidR="00DE2D22" w:rsidRPr="000634A4">
        <w:rPr>
          <w:noProof/>
          <w:lang w:eastAsia="zh-CN"/>
        </w:rPr>
        <w:drawing>
          <wp:inline distT="0" distB="0" distL="0" distR="0" wp14:anchorId="5ADD51F9" wp14:editId="51386EEF">
            <wp:extent cx="6183630" cy="218376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183630" cy="2183765"/>
                    </a:xfrm>
                    <a:prstGeom prst="rect">
                      <a:avLst/>
                    </a:prstGeom>
                    <a:noFill/>
                    <a:ln>
                      <a:noFill/>
                    </a:ln>
                  </pic:spPr>
                </pic:pic>
              </a:graphicData>
            </a:graphic>
          </wp:inline>
        </w:drawing>
      </w:r>
    </w:p>
    <w:p w14:paraId="0A98FCCC" w14:textId="1B8C3598" w:rsidR="00A81DCD" w:rsidRPr="000634A4" w:rsidRDefault="00A81DCD" w:rsidP="00A81DCD">
      <w:pPr>
        <w:tabs>
          <w:tab w:val="left" w:pos="-720"/>
        </w:tabs>
        <w:suppressAutoHyphens/>
        <w:spacing w:line="240" w:lineRule="atLeast"/>
        <w:jc w:val="center"/>
        <w:rPr>
          <w:spacing w:val="-2"/>
          <w:sz w:val="22"/>
          <w:szCs w:val="22"/>
        </w:rPr>
      </w:pPr>
      <w:r w:rsidRPr="000634A4">
        <w:rPr>
          <w:spacing w:val="-2"/>
          <w:sz w:val="22"/>
          <w:szCs w:val="22"/>
        </w:rPr>
        <w:t xml:space="preserve">     </w:t>
      </w:r>
    </w:p>
    <w:p w14:paraId="525A60A5" w14:textId="5A25A990" w:rsidR="00A81DCD" w:rsidRPr="000634A4" w:rsidRDefault="00015C9D" w:rsidP="005E1764">
      <w:pPr>
        <w:tabs>
          <w:tab w:val="left" w:pos="-720"/>
        </w:tabs>
        <w:suppressAutoHyphens/>
        <w:spacing w:line="240" w:lineRule="atLeast"/>
        <w:jc w:val="both"/>
        <w:rPr>
          <w:spacing w:val="-2"/>
          <w:sz w:val="22"/>
          <w:szCs w:val="22"/>
        </w:rPr>
      </w:pPr>
      <w:r w:rsidRPr="000634A4">
        <w:rPr>
          <w:spacing w:val="-2"/>
          <w:sz w:val="22"/>
          <w:szCs w:val="22"/>
        </w:rPr>
        <w:tab/>
      </w:r>
      <w:r w:rsidR="00A81DCD" w:rsidRPr="000634A4">
        <w:rPr>
          <w:spacing w:val="-2"/>
          <w:sz w:val="22"/>
          <w:szCs w:val="22"/>
        </w:rPr>
        <w:t xml:space="preserve">Amortization expense relating to </w:t>
      </w:r>
      <w:r w:rsidR="00227CD3" w:rsidRPr="000634A4">
        <w:rPr>
          <w:spacing w:val="-2"/>
          <w:sz w:val="22"/>
          <w:szCs w:val="22"/>
        </w:rPr>
        <w:t>acquired</w:t>
      </w:r>
      <w:r w:rsidR="00A81DCD" w:rsidRPr="000634A4">
        <w:rPr>
          <w:spacing w:val="-2"/>
          <w:sz w:val="22"/>
          <w:szCs w:val="22"/>
        </w:rPr>
        <w:t xml:space="preserve"> intangible assets was approximately </w:t>
      </w:r>
      <w:r w:rsidR="00866093" w:rsidRPr="000634A4">
        <w:rPr>
          <w:spacing w:val="-2"/>
          <w:sz w:val="22"/>
          <w:szCs w:val="22"/>
        </w:rPr>
        <w:t>$</w:t>
      </w:r>
      <w:r w:rsidR="00AD373C" w:rsidRPr="000634A4">
        <w:rPr>
          <w:spacing w:val="-2"/>
          <w:sz w:val="22"/>
          <w:szCs w:val="22"/>
        </w:rPr>
        <w:t xml:space="preserve">0.9 </w:t>
      </w:r>
      <w:r w:rsidR="00A81DCD" w:rsidRPr="000634A4">
        <w:rPr>
          <w:spacing w:val="-2"/>
          <w:sz w:val="22"/>
          <w:szCs w:val="22"/>
        </w:rPr>
        <w:t>million</w:t>
      </w:r>
      <w:r w:rsidR="00992366" w:rsidRPr="000634A4">
        <w:rPr>
          <w:spacing w:val="-2"/>
          <w:sz w:val="22"/>
          <w:szCs w:val="22"/>
        </w:rPr>
        <w:t xml:space="preserve"> </w:t>
      </w:r>
      <w:r w:rsidR="00A81DCD" w:rsidRPr="000634A4">
        <w:rPr>
          <w:spacing w:val="-2"/>
          <w:sz w:val="22"/>
          <w:szCs w:val="22"/>
        </w:rPr>
        <w:t xml:space="preserve">for </w:t>
      </w:r>
      <w:r w:rsidR="00A72CA0" w:rsidRPr="000634A4">
        <w:rPr>
          <w:spacing w:val="-2"/>
          <w:sz w:val="22"/>
          <w:szCs w:val="22"/>
        </w:rPr>
        <w:t xml:space="preserve">each of </w:t>
      </w:r>
      <w:r w:rsidR="00244C32" w:rsidRPr="000634A4">
        <w:rPr>
          <w:spacing w:val="-2"/>
          <w:sz w:val="22"/>
          <w:szCs w:val="22"/>
        </w:rPr>
        <w:t xml:space="preserve">the </w:t>
      </w:r>
      <w:r w:rsidR="00A81DCD" w:rsidRPr="000634A4">
        <w:rPr>
          <w:spacing w:val="-2"/>
          <w:sz w:val="22"/>
          <w:szCs w:val="22"/>
        </w:rPr>
        <w:t xml:space="preserve">years ended December 31, </w:t>
      </w:r>
      <w:r w:rsidR="00866093" w:rsidRPr="000634A4">
        <w:rPr>
          <w:spacing w:val="-2"/>
          <w:sz w:val="22"/>
          <w:szCs w:val="22"/>
        </w:rPr>
        <w:t xml:space="preserve">2022 </w:t>
      </w:r>
      <w:r w:rsidR="00A81DCD" w:rsidRPr="000634A4">
        <w:rPr>
          <w:spacing w:val="-2"/>
          <w:sz w:val="22"/>
          <w:szCs w:val="22"/>
        </w:rPr>
        <w:t xml:space="preserve">and </w:t>
      </w:r>
      <w:r w:rsidR="00866093" w:rsidRPr="000634A4">
        <w:rPr>
          <w:spacing w:val="-2"/>
          <w:sz w:val="22"/>
          <w:szCs w:val="22"/>
        </w:rPr>
        <w:t>2021</w:t>
      </w:r>
      <w:r w:rsidR="00A81DCD" w:rsidRPr="000634A4">
        <w:rPr>
          <w:spacing w:val="-2"/>
          <w:sz w:val="22"/>
          <w:szCs w:val="22"/>
        </w:rPr>
        <w:t>.</w:t>
      </w:r>
    </w:p>
    <w:p w14:paraId="6C028847" w14:textId="5CE35725" w:rsidR="005E1764" w:rsidRPr="000634A4" w:rsidRDefault="005E1764" w:rsidP="005E1764">
      <w:pPr>
        <w:tabs>
          <w:tab w:val="left" w:pos="-720"/>
        </w:tabs>
        <w:suppressAutoHyphens/>
        <w:spacing w:line="240" w:lineRule="atLeast"/>
        <w:jc w:val="both"/>
        <w:rPr>
          <w:spacing w:val="-2"/>
          <w:sz w:val="22"/>
          <w:szCs w:val="22"/>
        </w:rPr>
      </w:pPr>
    </w:p>
    <w:p w14:paraId="346A25BF" w14:textId="79AB4353" w:rsidR="005E1764" w:rsidRPr="000634A4" w:rsidRDefault="005E1764" w:rsidP="005E1764">
      <w:pPr>
        <w:tabs>
          <w:tab w:val="left" w:pos="-720"/>
        </w:tabs>
        <w:suppressAutoHyphens/>
        <w:spacing w:line="240" w:lineRule="atLeast"/>
        <w:jc w:val="both"/>
        <w:rPr>
          <w:spacing w:val="-2"/>
          <w:sz w:val="22"/>
          <w:szCs w:val="22"/>
        </w:rPr>
      </w:pPr>
      <w:r w:rsidRPr="000634A4">
        <w:rPr>
          <w:spacing w:val="-2"/>
          <w:sz w:val="22"/>
          <w:szCs w:val="22"/>
        </w:rPr>
        <w:tab/>
        <w:t>Amortization expense relating to capitalized developed software was</w:t>
      </w:r>
      <w:r w:rsidR="00C76509" w:rsidRPr="000634A4">
        <w:rPr>
          <w:spacing w:val="-2"/>
          <w:sz w:val="22"/>
          <w:szCs w:val="22"/>
        </w:rPr>
        <w:t xml:space="preserve"> approximately</w:t>
      </w:r>
      <w:r w:rsidRPr="000634A4">
        <w:rPr>
          <w:spacing w:val="-2"/>
          <w:sz w:val="22"/>
          <w:szCs w:val="22"/>
        </w:rPr>
        <w:t xml:space="preserve"> $</w:t>
      </w:r>
      <w:r w:rsidR="00237E15" w:rsidRPr="000634A4">
        <w:rPr>
          <w:spacing w:val="-2"/>
          <w:sz w:val="22"/>
          <w:szCs w:val="22"/>
        </w:rPr>
        <w:t xml:space="preserve">1.8 </w:t>
      </w:r>
      <w:r w:rsidRPr="000634A4">
        <w:rPr>
          <w:spacing w:val="-2"/>
          <w:sz w:val="22"/>
          <w:szCs w:val="22"/>
        </w:rPr>
        <w:t xml:space="preserve">million </w:t>
      </w:r>
      <w:r w:rsidR="00AD373C" w:rsidRPr="000634A4">
        <w:rPr>
          <w:spacing w:val="-2"/>
          <w:sz w:val="22"/>
          <w:szCs w:val="22"/>
        </w:rPr>
        <w:t xml:space="preserve">and </w:t>
      </w:r>
      <w:r w:rsidR="00C76509" w:rsidRPr="000634A4">
        <w:rPr>
          <w:spacing w:val="-2"/>
          <w:sz w:val="22"/>
          <w:szCs w:val="22"/>
        </w:rPr>
        <w:t>$</w:t>
      </w:r>
      <w:r w:rsidR="00866093" w:rsidRPr="000634A4">
        <w:rPr>
          <w:spacing w:val="-2"/>
          <w:sz w:val="22"/>
          <w:szCs w:val="22"/>
        </w:rPr>
        <w:t>1.1</w:t>
      </w:r>
      <w:r w:rsidR="00C76509" w:rsidRPr="000634A4">
        <w:rPr>
          <w:spacing w:val="-2"/>
          <w:sz w:val="22"/>
          <w:szCs w:val="22"/>
        </w:rPr>
        <w:t xml:space="preserve"> million </w:t>
      </w:r>
      <w:r w:rsidRPr="000634A4">
        <w:rPr>
          <w:spacing w:val="-2"/>
          <w:sz w:val="22"/>
          <w:szCs w:val="22"/>
        </w:rPr>
        <w:t xml:space="preserve">for the </w:t>
      </w:r>
      <w:r w:rsidR="00AD373C" w:rsidRPr="000634A4">
        <w:rPr>
          <w:spacing w:val="-2"/>
          <w:sz w:val="22"/>
          <w:szCs w:val="22"/>
        </w:rPr>
        <w:t>year</w:t>
      </w:r>
      <w:r w:rsidR="00C76509" w:rsidRPr="000634A4">
        <w:rPr>
          <w:spacing w:val="-2"/>
          <w:sz w:val="22"/>
          <w:szCs w:val="22"/>
        </w:rPr>
        <w:t>s</w:t>
      </w:r>
      <w:r w:rsidRPr="000634A4">
        <w:rPr>
          <w:spacing w:val="-2"/>
          <w:sz w:val="22"/>
          <w:szCs w:val="22"/>
        </w:rPr>
        <w:t xml:space="preserve"> ended </w:t>
      </w:r>
      <w:r w:rsidR="00AD373C" w:rsidRPr="000634A4">
        <w:rPr>
          <w:spacing w:val="-2"/>
          <w:sz w:val="22"/>
          <w:szCs w:val="22"/>
        </w:rPr>
        <w:t>Dec</w:t>
      </w:r>
      <w:r w:rsidRPr="000634A4">
        <w:rPr>
          <w:spacing w:val="-2"/>
          <w:sz w:val="22"/>
          <w:szCs w:val="22"/>
        </w:rPr>
        <w:t>ember 3</w:t>
      </w:r>
      <w:r w:rsidR="00AD373C" w:rsidRPr="000634A4">
        <w:rPr>
          <w:spacing w:val="-2"/>
          <w:sz w:val="22"/>
          <w:szCs w:val="22"/>
        </w:rPr>
        <w:t>1</w:t>
      </w:r>
      <w:r w:rsidRPr="000634A4">
        <w:rPr>
          <w:spacing w:val="-2"/>
          <w:sz w:val="22"/>
          <w:szCs w:val="22"/>
        </w:rPr>
        <w:t xml:space="preserve">, </w:t>
      </w:r>
      <w:r w:rsidR="00866093" w:rsidRPr="000634A4">
        <w:rPr>
          <w:spacing w:val="-2"/>
          <w:sz w:val="22"/>
          <w:szCs w:val="22"/>
        </w:rPr>
        <w:t xml:space="preserve">2022 </w:t>
      </w:r>
      <w:r w:rsidRPr="000634A4">
        <w:rPr>
          <w:spacing w:val="-2"/>
          <w:sz w:val="22"/>
          <w:szCs w:val="22"/>
        </w:rPr>
        <w:t xml:space="preserve">and </w:t>
      </w:r>
      <w:r w:rsidR="00866093" w:rsidRPr="000634A4">
        <w:rPr>
          <w:spacing w:val="-2"/>
          <w:sz w:val="22"/>
          <w:szCs w:val="22"/>
        </w:rPr>
        <w:t>2021</w:t>
      </w:r>
      <w:r w:rsidR="00C76509" w:rsidRPr="000634A4">
        <w:rPr>
          <w:spacing w:val="-2"/>
          <w:sz w:val="22"/>
          <w:szCs w:val="22"/>
        </w:rPr>
        <w:t>, respectively</w:t>
      </w:r>
      <w:r w:rsidRPr="000634A4">
        <w:rPr>
          <w:spacing w:val="-2"/>
          <w:sz w:val="22"/>
          <w:szCs w:val="22"/>
        </w:rPr>
        <w:t>.</w:t>
      </w:r>
    </w:p>
    <w:p w14:paraId="18931E54" w14:textId="62DE972E" w:rsidR="005E1764" w:rsidRPr="000634A4" w:rsidRDefault="005E1764" w:rsidP="006A2EF3">
      <w:pPr>
        <w:tabs>
          <w:tab w:val="left" w:pos="-720"/>
        </w:tabs>
        <w:suppressAutoHyphens/>
        <w:spacing w:line="240" w:lineRule="atLeast"/>
        <w:jc w:val="both"/>
        <w:rPr>
          <w:spacing w:val="-2"/>
          <w:sz w:val="22"/>
          <w:szCs w:val="22"/>
        </w:rPr>
      </w:pPr>
    </w:p>
    <w:p w14:paraId="0DE2EC8C" w14:textId="7D7C14BD" w:rsidR="00A81DCD" w:rsidRPr="000634A4" w:rsidRDefault="00A81DCD" w:rsidP="00A81DCD">
      <w:pPr>
        <w:tabs>
          <w:tab w:val="left" w:pos="-720"/>
          <w:tab w:val="left" w:pos="720"/>
        </w:tabs>
        <w:suppressAutoHyphens/>
        <w:spacing w:line="240" w:lineRule="atLeast"/>
        <w:jc w:val="both"/>
        <w:rPr>
          <w:sz w:val="22"/>
          <w:szCs w:val="22"/>
        </w:rPr>
      </w:pPr>
      <w:r w:rsidRPr="000634A4">
        <w:rPr>
          <w:sz w:val="22"/>
          <w:szCs w:val="22"/>
        </w:rPr>
        <w:tab/>
        <w:t xml:space="preserve">Estimated annual amortization expense for intangible assets subsequent to December 31, </w:t>
      </w:r>
      <w:r w:rsidR="00866093" w:rsidRPr="000634A4">
        <w:rPr>
          <w:sz w:val="22"/>
          <w:szCs w:val="22"/>
        </w:rPr>
        <w:t xml:space="preserve">2022 </w:t>
      </w:r>
      <w:r w:rsidRPr="000634A4">
        <w:rPr>
          <w:sz w:val="22"/>
          <w:szCs w:val="22"/>
        </w:rPr>
        <w:t>is as follows (in thousands):</w:t>
      </w:r>
    </w:p>
    <w:p w14:paraId="21F2FB1D" w14:textId="77777777" w:rsidR="00BC7C6F" w:rsidRPr="000634A4" w:rsidRDefault="00BC7C6F" w:rsidP="00442D13">
      <w:pPr>
        <w:tabs>
          <w:tab w:val="left" w:pos="-720"/>
        </w:tabs>
        <w:suppressAutoHyphens/>
        <w:spacing w:line="240" w:lineRule="atLeast"/>
        <w:ind w:left="2700"/>
        <w:rPr>
          <w:sz w:val="22"/>
          <w:szCs w:val="22"/>
        </w:rPr>
      </w:pPr>
    </w:p>
    <w:p w14:paraId="4527D786" w14:textId="3706FBB4" w:rsidR="00A81DCD" w:rsidRPr="000634A4" w:rsidRDefault="00A03BDD" w:rsidP="00442D13">
      <w:pPr>
        <w:tabs>
          <w:tab w:val="left" w:pos="-720"/>
        </w:tabs>
        <w:suppressAutoHyphens/>
        <w:spacing w:line="240" w:lineRule="atLeast"/>
        <w:ind w:left="2700"/>
        <w:rPr>
          <w:sz w:val="22"/>
          <w:szCs w:val="22"/>
        </w:rPr>
      </w:pPr>
      <w:r w:rsidRPr="000634A4">
        <w:rPr>
          <w:sz w:val="22"/>
          <w:szCs w:val="22"/>
        </w:rPr>
        <w:t xml:space="preserve"> </w:t>
      </w:r>
      <w:r w:rsidR="001C556E" w:rsidRPr="000634A4">
        <w:rPr>
          <w:sz w:val="22"/>
          <w:szCs w:val="22"/>
        </w:rPr>
        <w:t xml:space="preserve"> </w:t>
      </w:r>
      <w:r w:rsidR="001C556E" w:rsidRPr="000634A4">
        <w:rPr>
          <w:noProof/>
          <w:lang w:eastAsia="zh-CN"/>
        </w:rPr>
        <w:drawing>
          <wp:inline distT="0" distB="0" distL="0" distR="0" wp14:anchorId="7612DE50" wp14:editId="5989162B">
            <wp:extent cx="3340100" cy="17970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40100" cy="1797050"/>
                    </a:xfrm>
                    <a:prstGeom prst="rect">
                      <a:avLst/>
                    </a:prstGeom>
                    <a:noFill/>
                    <a:ln>
                      <a:noFill/>
                    </a:ln>
                  </pic:spPr>
                </pic:pic>
              </a:graphicData>
            </a:graphic>
          </wp:inline>
        </w:drawing>
      </w:r>
    </w:p>
    <w:p w14:paraId="7D63E9C3" w14:textId="77777777" w:rsidR="00BC7C6F" w:rsidRPr="000634A4" w:rsidRDefault="00BC7C6F" w:rsidP="00442D13">
      <w:pPr>
        <w:tabs>
          <w:tab w:val="left" w:pos="-720"/>
        </w:tabs>
        <w:suppressAutoHyphens/>
        <w:spacing w:line="240" w:lineRule="atLeast"/>
        <w:ind w:left="2700"/>
        <w:rPr>
          <w:sz w:val="22"/>
          <w:szCs w:val="22"/>
        </w:rPr>
      </w:pPr>
    </w:p>
    <w:p w14:paraId="6080FCC1" w14:textId="77777777" w:rsidR="00BC7C6F" w:rsidRPr="000634A4" w:rsidRDefault="00BC7C6F" w:rsidP="00442D13">
      <w:pPr>
        <w:tabs>
          <w:tab w:val="left" w:pos="-720"/>
        </w:tabs>
        <w:suppressAutoHyphens/>
        <w:spacing w:line="240" w:lineRule="atLeast"/>
        <w:ind w:left="2700"/>
        <w:rPr>
          <w:sz w:val="22"/>
          <w:szCs w:val="22"/>
        </w:rPr>
      </w:pPr>
    </w:p>
    <w:p w14:paraId="248400FB" w14:textId="236B8ECF" w:rsidR="00A81DCD" w:rsidRPr="000634A4" w:rsidRDefault="00244C32" w:rsidP="005F7716">
      <w:pPr>
        <w:numPr>
          <w:ilvl w:val="0"/>
          <w:numId w:val="8"/>
        </w:numPr>
        <w:suppressAutoHyphens/>
        <w:spacing w:line="240" w:lineRule="atLeast"/>
        <w:ind w:right="90" w:hanging="720"/>
        <w:jc w:val="both"/>
        <w:rPr>
          <w:b/>
          <w:bCs/>
          <w:spacing w:val="-2"/>
          <w:sz w:val="22"/>
          <w:szCs w:val="22"/>
        </w:rPr>
      </w:pPr>
      <w:r w:rsidRPr="000634A4">
        <w:rPr>
          <w:b/>
          <w:bCs/>
          <w:spacing w:val="-2"/>
          <w:sz w:val="22"/>
          <w:szCs w:val="22"/>
        </w:rPr>
        <w:lastRenderedPageBreak/>
        <w:t xml:space="preserve">Income </w:t>
      </w:r>
      <w:r w:rsidR="00A81DCD" w:rsidRPr="000634A4">
        <w:rPr>
          <w:b/>
          <w:bCs/>
          <w:spacing w:val="-2"/>
          <w:sz w:val="22"/>
          <w:szCs w:val="22"/>
        </w:rPr>
        <w:t xml:space="preserve">Taxes </w:t>
      </w:r>
    </w:p>
    <w:p w14:paraId="5C44BABD" w14:textId="29D40FD1" w:rsidR="007C1541" w:rsidRPr="000634A4" w:rsidRDefault="007C1541" w:rsidP="00A81DCD">
      <w:pPr>
        <w:tabs>
          <w:tab w:val="left" w:pos="-720"/>
          <w:tab w:val="left" w:pos="720"/>
        </w:tabs>
        <w:suppressAutoHyphens/>
        <w:spacing w:line="240" w:lineRule="atLeast"/>
        <w:jc w:val="both"/>
        <w:rPr>
          <w:spacing w:val="-2"/>
          <w:sz w:val="22"/>
          <w:szCs w:val="22"/>
        </w:rPr>
      </w:pPr>
    </w:p>
    <w:p w14:paraId="53BCD93F" w14:textId="0921488A" w:rsidR="00A81DCD" w:rsidRPr="000634A4" w:rsidRDefault="007C1541" w:rsidP="00A81DCD">
      <w:pPr>
        <w:tabs>
          <w:tab w:val="left" w:pos="-720"/>
          <w:tab w:val="left" w:pos="720"/>
        </w:tabs>
        <w:suppressAutoHyphens/>
        <w:spacing w:line="240" w:lineRule="atLeast"/>
        <w:jc w:val="both"/>
        <w:rPr>
          <w:spacing w:val="-2"/>
          <w:sz w:val="22"/>
          <w:szCs w:val="22"/>
        </w:rPr>
      </w:pPr>
      <w:r w:rsidRPr="000634A4">
        <w:rPr>
          <w:spacing w:val="-2"/>
          <w:sz w:val="22"/>
          <w:szCs w:val="22"/>
        </w:rPr>
        <w:tab/>
      </w:r>
      <w:r w:rsidR="00A81DCD" w:rsidRPr="000634A4">
        <w:rPr>
          <w:spacing w:val="-2"/>
          <w:sz w:val="22"/>
          <w:szCs w:val="22"/>
        </w:rPr>
        <w:t xml:space="preserve">The significant components of the provision for income taxes for the years ended December 31, </w:t>
      </w:r>
      <w:r w:rsidR="00866093" w:rsidRPr="000634A4">
        <w:rPr>
          <w:spacing w:val="-2"/>
          <w:sz w:val="22"/>
          <w:szCs w:val="22"/>
        </w:rPr>
        <w:t xml:space="preserve">2022 </w:t>
      </w:r>
      <w:r w:rsidR="00A81DCD" w:rsidRPr="000634A4">
        <w:rPr>
          <w:spacing w:val="-2"/>
          <w:sz w:val="22"/>
          <w:szCs w:val="22"/>
        </w:rPr>
        <w:t xml:space="preserve">and </w:t>
      </w:r>
      <w:r w:rsidR="00866093" w:rsidRPr="000634A4">
        <w:rPr>
          <w:spacing w:val="-2"/>
          <w:sz w:val="22"/>
          <w:szCs w:val="22"/>
        </w:rPr>
        <w:t xml:space="preserve">2021 </w:t>
      </w:r>
      <w:r w:rsidR="00780134" w:rsidRPr="000634A4">
        <w:rPr>
          <w:spacing w:val="-2"/>
          <w:sz w:val="22"/>
          <w:szCs w:val="22"/>
        </w:rPr>
        <w:t xml:space="preserve">were </w:t>
      </w:r>
      <w:r w:rsidR="00A81DCD" w:rsidRPr="000634A4">
        <w:rPr>
          <w:spacing w:val="-2"/>
          <w:sz w:val="22"/>
          <w:szCs w:val="22"/>
        </w:rPr>
        <w:t xml:space="preserve">as follows (in thousands):    </w:t>
      </w:r>
    </w:p>
    <w:p w14:paraId="4C8F82A6" w14:textId="25EF7747" w:rsidR="005477C1" w:rsidRPr="000634A4" w:rsidRDefault="005477C1" w:rsidP="00A81DCD">
      <w:pPr>
        <w:tabs>
          <w:tab w:val="left" w:pos="-720"/>
          <w:tab w:val="left" w:pos="720"/>
        </w:tabs>
        <w:suppressAutoHyphens/>
        <w:spacing w:line="240" w:lineRule="atLeast"/>
        <w:jc w:val="both"/>
        <w:rPr>
          <w:spacing w:val="-2"/>
          <w:sz w:val="22"/>
          <w:szCs w:val="22"/>
        </w:rPr>
      </w:pPr>
      <w:r w:rsidRPr="000634A4">
        <w:rPr>
          <w:spacing w:val="-2"/>
          <w:sz w:val="22"/>
          <w:szCs w:val="22"/>
        </w:rPr>
        <w:t xml:space="preserve"> </w:t>
      </w:r>
      <w:r w:rsidR="00D720EC" w:rsidRPr="000634A4">
        <w:rPr>
          <w:spacing w:val="-2"/>
          <w:sz w:val="22"/>
          <w:szCs w:val="22"/>
        </w:rPr>
        <w:t xml:space="preserve"> </w:t>
      </w:r>
      <w:r w:rsidR="0017674B" w:rsidRPr="000634A4">
        <w:rPr>
          <w:noProof/>
        </w:rPr>
        <w:drawing>
          <wp:inline distT="0" distB="0" distL="0" distR="0" wp14:anchorId="7C6130FD" wp14:editId="0B72F9BA">
            <wp:extent cx="6183630" cy="2160270"/>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83630" cy="2160270"/>
                    </a:xfrm>
                    <a:prstGeom prst="rect">
                      <a:avLst/>
                    </a:prstGeom>
                    <a:noFill/>
                    <a:ln>
                      <a:noFill/>
                    </a:ln>
                  </pic:spPr>
                </pic:pic>
              </a:graphicData>
            </a:graphic>
          </wp:inline>
        </w:drawing>
      </w:r>
    </w:p>
    <w:p w14:paraId="12D9B5E1" w14:textId="77777777" w:rsidR="0017674B" w:rsidRPr="000634A4" w:rsidRDefault="0017674B" w:rsidP="00A81DCD">
      <w:pPr>
        <w:tabs>
          <w:tab w:val="left" w:pos="-720"/>
          <w:tab w:val="left" w:pos="720"/>
        </w:tabs>
        <w:suppressAutoHyphens/>
        <w:spacing w:line="240" w:lineRule="atLeast"/>
        <w:jc w:val="both"/>
        <w:rPr>
          <w:spacing w:val="-2"/>
          <w:sz w:val="22"/>
          <w:szCs w:val="22"/>
        </w:rPr>
      </w:pPr>
    </w:p>
    <w:p w14:paraId="33D1968C" w14:textId="603C3E54" w:rsidR="009A0651" w:rsidRPr="000634A4" w:rsidRDefault="00A81DCD" w:rsidP="00CD562E">
      <w:pPr>
        <w:ind w:firstLine="720"/>
        <w:rPr>
          <w:noProof/>
          <w:sz w:val="22"/>
          <w:szCs w:val="22"/>
        </w:rPr>
      </w:pPr>
      <w:bookmarkStart w:id="52" w:name="_MON_1454310444"/>
      <w:bookmarkEnd w:id="52"/>
      <w:r w:rsidRPr="000634A4">
        <w:rPr>
          <w:spacing w:val="-2"/>
          <w:sz w:val="22"/>
          <w:szCs w:val="22"/>
        </w:rPr>
        <w:t xml:space="preserve">The reconciliation of the U.S. statutory rate with the Company’s effective tax rate for the years ended December 31, </w:t>
      </w:r>
      <w:r w:rsidR="00C2168E" w:rsidRPr="000634A4">
        <w:rPr>
          <w:spacing w:val="-2"/>
          <w:sz w:val="22"/>
          <w:szCs w:val="22"/>
        </w:rPr>
        <w:t xml:space="preserve">2022 </w:t>
      </w:r>
      <w:r w:rsidRPr="000634A4">
        <w:rPr>
          <w:spacing w:val="-2"/>
          <w:sz w:val="22"/>
          <w:szCs w:val="22"/>
        </w:rPr>
        <w:t xml:space="preserve">and </w:t>
      </w:r>
      <w:r w:rsidR="00C2168E" w:rsidRPr="000634A4">
        <w:rPr>
          <w:spacing w:val="-2"/>
          <w:sz w:val="22"/>
          <w:szCs w:val="22"/>
        </w:rPr>
        <w:t xml:space="preserve">2021 </w:t>
      </w:r>
      <w:r w:rsidRPr="000634A4">
        <w:rPr>
          <w:spacing w:val="-2"/>
          <w:sz w:val="22"/>
          <w:szCs w:val="22"/>
        </w:rPr>
        <w:t>is summarized as follows</w:t>
      </w:r>
      <w:r w:rsidR="00780134" w:rsidRPr="000634A4">
        <w:rPr>
          <w:spacing w:val="-2"/>
          <w:sz w:val="22"/>
          <w:szCs w:val="22"/>
        </w:rPr>
        <w:t xml:space="preserve">: </w:t>
      </w:r>
      <w:r w:rsidRPr="000634A4">
        <w:rPr>
          <w:spacing w:val="-2"/>
          <w:sz w:val="22"/>
          <w:szCs w:val="22"/>
        </w:rPr>
        <w:t xml:space="preserve">   </w:t>
      </w:r>
      <w:r w:rsidRPr="000634A4">
        <w:rPr>
          <w:noProof/>
          <w:sz w:val="22"/>
          <w:szCs w:val="22"/>
        </w:rPr>
        <w:t xml:space="preserve"> </w:t>
      </w:r>
    </w:p>
    <w:p w14:paraId="63F933E3" w14:textId="41C545A4" w:rsidR="00C65214" w:rsidRPr="000634A4" w:rsidRDefault="007551BE" w:rsidP="00A81DCD">
      <w:pPr>
        <w:tabs>
          <w:tab w:val="left" w:pos="-720"/>
          <w:tab w:val="left" w:pos="720"/>
        </w:tabs>
        <w:suppressAutoHyphens/>
        <w:spacing w:line="240" w:lineRule="atLeast"/>
        <w:ind w:right="18" w:firstLine="720"/>
        <w:jc w:val="both"/>
        <w:rPr>
          <w:spacing w:val="-2"/>
          <w:sz w:val="22"/>
          <w:szCs w:val="22"/>
        </w:rPr>
      </w:pPr>
      <w:r w:rsidRPr="000634A4">
        <w:rPr>
          <w:noProof/>
          <w:sz w:val="22"/>
          <w:szCs w:val="22"/>
        </w:rPr>
        <w:t xml:space="preserve"> </w:t>
      </w:r>
      <w:r w:rsidR="005D5581" w:rsidRPr="000634A4">
        <w:rPr>
          <w:noProof/>
          <w:sz w:val="22"/>
          <w:szCs w:val="22"/>
        </w:rPr>
        <w:t xml:space="preserve"> </w:t>
      </w:r>
      <w:r w:rsidR="0017674B" w:rsidRPr="000634A4">
        <w:rPr>
          <w:noProof/>
        </w:rPr>
        <w:drawing>
          <wp:inline distT="0" distB="0" distL="0" distR="0" wp14:anchorId="3DE869EC" wp14:editId="28ECA1C4">
            <wp:extent cx="6183630" cy="328168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83630" cy="3281680"/>
                    </a:xfrm>
                    <a:prstGeom prst="rect">
                      <a:avLst/>
                    </a:prstGeom>
                    <a:noFill/>
                    <a:ln>
                      <a:noFill/>
                    </a:ln>
                  </pic:spPr>
                </pic:pic>
              </a:graphicData>
            </a:graphic>
          </wp:inline>
        </w:drawing>
      </w:r>
    </w:p>
    <w:p w14:paraId="780F7FBC" w14:textId="77777777" w:rsidR="00C65214" w:rsidRPr="000634A4" w:rsidRDefault="00C65214" w:rsidP="00A81DCD">
      <w:pPr>
        <w:tabs>
          <w:tab w:val="left" w:pos="-720"/>
          <w:tab w:val="left" w:pos="720"/>
        </w:tabs>
        <w:suppressAutoHyphens/>
        <w:spacing w:line="240" w:lineRule="atLeast"/>
        <w:ind w:right="18" w:firstLine="720"/>
        <w:jc w:val="both"/>
        <w:rPr>
          <w:spacing w:val="-2"/>
          <w:sz w:val="22"/>
          <w:szCs w:val="22"/>
        </w:rPr>
      </w:pPr>
    </w:p>
    <w:p w14:paraId="0B70D47D" w14:textId="77777777" w:rsidR="00C65214" w:rsidRPr="000634A4" w:rsidRDefault="00C65214" w:rsidP="00A81DCD">
      <w:pPr>
        <w:tabs>
          <w:tab w:val="left" w:pos="-720"/>
          <w:tab w:val="left" w:pos="720"/>
        </w:tabs>
        <w:suppressAutoHyphens/>
        <w:spacing w:line="240" w:lineRule="atLeast"/>
        <w:ind w:right="18" w:firstLine="720"/>
        <w:jc w:val="both"/>
        <w:rPr>
          <w:spacing w:val="-2"/>
          <w:sz w:val="22"/>
          <w:szCs w:val="22"/>
        </w:rPr>
      </w:pPr>
    </w:p>
    <w:p w14:paraId="0C8CC87E" w14:textId="05A44ED4" w:rsidR="00A81DCD" w:rsidRPr="000634A4" w:rsidRDefault="00A81DCD" w:rsidP="00A81DCD">
      <w:pPr>
        <w:tabs>
          <w:tab w:val="left" w:pos="-720"/>
          <w:tab w:val="left" w:pos="720"/>
        </w:tabs>
        <w:suppressAutoHyphens/>
        <w:spacing w:line="240" w:lineRule="atLeast"/>
        <w:ind w:right="18" w:firstLine="720"/>
        <w:jc w:val="both"/>
        <w:rPr>
          <w:spacing w:val="-2"/>
          <w:sz w:val="22"/>
          <w:szCs w:val="22"/>
        </w:rPr>
      </w:pPr>
      <w:r w:rsidRPr="000634A4">
        <w:rPr>
          <w:spacing w:val="-2"/>
          <w:sz w:val="22"/>
          <w:szCs w:val="22"/>
        </w:rPr>
        <w:t xml:space="preserve">Deferred tax assets and liabilities are classified as non-current. Significant components of the Company’s deferred tax assets and liabilities as of December 31, </w:t>
      </w:r>
      <w:r w:rsidR="00F84422" w:rsidRPr="000634A4">
        <w:rPr>
          <w:spacing w:val="-2"/>
          <w:sz w:val="22"/>
          <w:szCs w:val="22"/>
        </w:rPr>
        <w:t xml:space="preserve">2022 </w:t>
      </w:r>
      <w:r w:rsidRPr="000634A4">
        <w:rPr>
          <w:spacing w:val="-2"/>
          <w:sz w:val="22"/>
          <w:szCs w:val="22"/>
        </w:rPr>
        <w:t xml:space="preserve">and </w:t>
      </w:r>
      <w:r w:rsidR="00F84422" w:rsidRPr="000634A4">
        <w:rPr>
          <w:spacing w:val="-2"/>
          <w:sz w:val="22"/>
          <w:szCs w:val="22"/>
        </w:rPr>
        <w:t xml:space="preserve">2021 </w:t>
      </w:r>
      <w:r w:rsidR="00780134" w:rsidRPr="000634A4">
        <w:rPr>
          <w:spacing w:val="-2"/>
          <w:sz w:val="22"/>
          <w:szCs w:val="22"/>
        </w:rPr>
        <w:t xml:space="preserve">were </w:t>
      </w:r>
      <w:r w:rsidRPr="000634A4">
        <w:rPr>
          <w:spacing w:val="-2"/>
          <w:sz w:val="22"/>
          <w:szCs w:val="22"/>
        </w:rPr>
        <w:t>as follows (in thousands):</w:t>
      </w:r>
    </w:p>
    <w:p w14:paraId="41EF091A" w14:textId="3AF9525F" w:rsidR="00D6064B" w:rsidRPr="000634A4" w:rsidRDefault="00982AC4" w:rsidP="001A7894">
      <w:pPr>
        <w:tabs>
          <w:tab w:val="left" w:pos="-720"/>
          <w:tab w:val="left" w:pos="90"/>
        </w:tabs>
        <w:suppressAutoHyphens/>
        <w:spacing w:line="240" w:lineRule="atLeast"/>
        <w:ind w:left="90" w:right="90"/>
        <w:rPr>
          <w:spacing w:val="-2"/>
          <w:sz w:val="22"/>
          <w:szCs w:val="22"/>
        </w:rPr>
      </w:pPr>
      <w:r w:rsidRPr="000634A4">
        <w:rPr>
          <w:spacing w:val="-2"/>
          <w:sz w:val="22"/>
          <w:szCs w:val="22"/>
        </w:rPr>
        <w:lastRenderedPageBreak/>
        <w:t xml:space="preserve"> </w:t>
      </w:r>
      <w:r w:rsidR="00D6064B" w:rsidRPr="000634A4">
        <w:rPr>
          <w:spacing w:val="-2"/>
          <w:sz w:val="22"/>
          <w:szCs w:val="22"/>
        </w:rPr>
        <w:t xml:space="preserve"> </w:t>
      </w:r>
      <w:r w:rsidR="00B72760" w:rsidRPr="000634A4">
        <w:rPr>
          <w:spacing w:val="-2"/>
          <w:sz w:val="22"/>
          <w:szCs w:val="22"/>
        </w:rPr>
        <w:t xml:space="preserve"> </w:t>
      </w:r>
      <w:r w:rsidR="005D5581" w:rsidRPr="000634A4">
        <w:rPr>
          <w:spacing w:val="-2"/>
          <w:sz w:val="22"/>
          <w:szCs w:val="22"/>
        </w:rPr>
        <w:t xml:space="preserve"> </w:t>
      </w:r>
      <w:r w:rsidR="005D5581" w:rsidRPr="000634A4">
        <w:rPr>
          <w:noProof/>
        </w:rPr>
        <w:drawing>
          <wp:inline distT="0" distB="0" distL="0" distR="0" wp14:anchorId="75B80136" wp14:editId="0D3DD113">
            <wp:extent cx="6057900" cy="4591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57900" cy="4591050"/>
                    </a:xfrm>
                    <a:prstGeom prst="rect">
                      <a:avLst/>
                    </a:prstGeom>
                    <a:noFill/>
                    <a:ln>
                      <a:noFill/>
                    </a:ln>
                  </pic:spPr>
                </pic:pic>
              </a:graphicData>
            </a:graphic>
          </wp:inline>
        </w:drawing>
      </w:r>
    </w:p>
    <w:p w14:paraId="2B14ACF0" w14:textId="33488FC6" w:rsidR="00A81DCD" w:rsidRPr="000634A4" w:rsidRDefault="00A81DCD" w:rsidP="00A81DCD">
      <w:pPr>
        <w:tabs>
          <w:tab w:val="left" w:pos="-720"/>
          <w:tab w:val="left" w:pos="720"/>
        </w:tabs>
        <w:suppressAutoHyphens/>
        <w:spacing w:line="240" w:lineRule="atLeast"/>
        <w:jc w:val="both"/>
        <w:rPr>
          <w:spacing w:val="-2"/>
          <w:sz w:val="22"/>
          <w:szCs w:val="22"/>
        </w:rPr>
      </w:pPr>
      <w:r w:rsidRPr="000634A4">
        <w:rPr>
          <w:spacing w:val="-2"/>
          <w:sz w:val="22"/>
          <w:szCs w:val="22"/>
        </w:rPr>
        <w:t xml:space="preserve"> </w:t>
      </w:r>
      <w:bookmarkStart w:id="53" w:name="_Hlk64476321"/>
      <w:r w:rsidR="00A9180E" w:rsidRPr="000634A4">
        <w:rPr>
          <w:spacing w:val="-2"/>
          <w:sz w:val="22"/>
          <w:szCs w:val="22"/>
        </w:rPr>
        <w:tab/>
      </w:r>
      <w:r w:rsidRPr="000634A4">
        <w:rPr>
          <w:spacing w:val="-2"/>
          <w:sz w:val="22"/>
          <w:szCs w:val="22"/>
        </w:rPr>
        <w:t xml:space="preserve">In assessing the realization of deferred tax assets, management considers whether it is more likely than not that all or some portion of the deferred tax assets will not be realizable. The ultimate realization of the deferred tax assets is dependent upon the generation of future taxable income during the periods in which temporary differences are deductible and net operating losses are available. As of December 31, </w:t>
      </w:r>
      <w:r w:rsidR="00F84422" w:rsidRPr="000634A4">
        <w:rPr>
          <w:spacing w:val="-2"/>
          <w:sz w:val="22"/>
          <w:szCs w:val="22"/>
        </w:rPr>
        <w:t>2022</w:t>
      </w:r>
      <w:r w:rsidRPr="000634A4">
        <w:rPr>
          <w:spacing w:val="-2"/>
          <w:sz w:val="22"/>
          <w:szCs w:val="22"/>
        </w:rPr>
        <w:t xml:space="preserve">, the Company continues to maintain a valuation allowance on all </w:t>
      </w:r>
      <w:r w:rsidR="00BB6CD0">
        <w:rPr>
          <w:spacing w:val="-2"/>
          <w:sz w:val="22"/>
          <w:szCs w:val="22"/>
        </w:rPr>
        <w:t xml:space="preserve">of the Company’s </w:t>
      </w:r>
      <w:r w:rsidR="006C3201" w:rsidRPr="000634A4">
        <w:rPr>
          <w:spacing w:val="-2"/>
          <w:sz w:val="22"/>
          <w:szCs w:val="22"/>
        </w:rPr>
        <w:t xml:space="preserve">United States, </w:t>
      </w:r>
      <w:r w:rsidRPr="000634A4">
        <w:rPr>
          <w:spacing w:val="-2"/>
          <w:sz w:val="22"/>
          <w:szCs w:val="22"/>
        </w:rPr>
        <w:t>Canadian</w:t>
      </w:r>
      <w:r w:rsidR="000A3365" w:rsidRPr="000634A4">
        <w:rPr>
          <w:spacing w:val="-2"/>
          <w:sz w:val="22"/>
          <w:szCs w:val="22"/>
        </w:rPr>
        <w:t xml:space="preserve">, </w:t>
      </w:r>
      <w:r w:rsidR="00AE1AAB" w:rsidRPr="000634A4">
        <w:rPr>
          <w:sz w:val="22"/>
          <w:szCs w:val="22"/>
        </w:rPr>
        <w:t>German and United Kingdom</w:t>
      </w:r>
      <w:r w:rsidR="000A3365" w:rsidRPr="000634A4">
        <w:rPr>
          <w:sz w:val="22"/>
          <w:szCs w:val="22"/>
        </w:rPr>
        <w:t xml:space="preserve"> </w:t>
      </w:r>
      <w:r w:rsidR="00BB6CD0">
        <w:rPr>
          <w:sz w:val="22"/>
          <w:szCs w:val="22"/>
        </w:rPr>
        <w:t xml:space="preserve">subsidiaries’ </w:t>
      </w:r>
      <w:r w:rsidRPr="000634A4">
        <w:rPr>
          <w:spacing w:val="-2"/>
          <w:sz w:val="22"/>
          <w:szCs w:val="22"/>
        </w:rPr>
        <w:t>deferred tax assets.</w:t>
      </w:r>
    </w:p>
    <w:p w14:paraId="533B30DA" w14:textId="77777777" w:rsidR="00A81DCD" w:rsidRPr="000634A4" w:rsidRDefault="00A81DCD" w:rsidP="00A81DCD">
      <w:pPr>
        <w:tabs>
          <w:tab w:val="left" w:pos="-720"/>
          <w:tab w:val="left" w:pos="720"/>
        </w:tabs>
        <w:suppressAutoHyphens/>
        <w:spacing w:line="240" w:lineRule="atLeast"/>
        <w:jc w:val="both"/>
        <w:rPr>
          <w:spacing w:val="-2"/>
          <w:sz w:val="22"/>
          <w:szCs w:val="22"/>
        </w:rPr>
      </w:pPr>
    </w:p>
    <w:p w14:paraId="20CE07D8" w14:textId="6331132C" w:rsidR="00A81DCD" w:rsidRPr="000634A4" w:rsidRDefault="00A81DCD" w:rsidP="00561415">
      <w:pPr>
        <w:ind w:firstLine="720"/>
        <w:jc w:val="both"/>
        <w:rPr>
          <w:sz w:val="22"/>
          <w:szCs w:val="22"/>
        </w:rPr>
      </w:pPr>
      <w:r w:rsidRPr="000634A4">
        <w:rPr>
          <w:sz w:val="22"/>
          <w:szCs w:val="22"/>
        </w:rPr>
        <w:t xml:space="preserve">The Company </w:t>
      </w:r>
      <w:r w:rsidR="00780134" w:rsidRPr="000634A4">
        <w:rPr>
          <w:sz w:val="22"/>
          <w:szCs w:val="22"/>
        </w:rPr>
        <w:t xml:space="preserve">maintained </w:t>
      </w:r>
      <w:r w:rsidRPr="000634A4">
        <w:rPr>
          <w:sz w:val="22"/>
          <w:szCs w:val="22"/>
        </w:rPr>
        <w:t xml:space="preserve">a valuation allowance of approximately </w:t>
      </w:r>
      <w:r w:rsidR="009A0651" w:rsidRPr="000634A4">
        <w:rPr>
          <w:sz w:val="22"/>
          <w:szCs w:val="22"/>
        </w:rPr>
        <w:t>$</w:t>
      </w:r>
      <w:r w:rsidR="00525A19" w:rsidRPr="000634A4">
        <w:rPr>
          <w:sz w:val="22"/>
          <w:szCs w:val="22"/>
        </w:rPr>
        <w:t>1</w:t>
      </w:r>
      <w:r w:rsidR="005D5581" w:rsidRPr="000634A4">
        <w:rPr>
          <w:sz w:val="22"/>
          <w:szCs w:val="22"/>
        </w:rPr>
        <w:t>3</w:t>
      </w:r>
      <w:r w:rsidR="00525A19" w:rsidRPr="000634A4">
        <w:rPr>
          <w:sz w:val="22"/>
          <w:szCs w:val="22"/>
        </w:rPr>
        <w:t>.</w:t>
      </w:r>
      <w:r w:rsidR="005D5581" w:rsidRPr="000634A4">
        <w:rPr>
          <w:sz w:val="22"/>
          <w:szCs w:val="22"/>
        </w:rPr>
        <w:t>0</w:t>
      </w:r>
      <w:r w:rsidR="00525A19" w:rsidRPr="000634A4">
        <w:rPr>
          <w:sz w:val="22"/>
          <w:szCs w:val="22"/>
        </w:rPr>
        <w:t xml:space="preserve"> </w:t>
      </w:r>
      <w:r w:rsidRPr="000634A4">
        <w:rPr>
          <w:sz w:val="22"/>
          <w:szCs w:val="22"/>
        </w:rPr>
        <w:t>million and $</w:t>
      </w:r>
      <w:r w:rsidR="00F84422" w:rsidRPr="000634A4">
        <w:rPr>
          <w:sz w:val="22"/>
          <w:szCs w:val="22"/>
        </w:rPr>
        <w:t>9.1</w:t>
      </w:r>
      <w:r w:rsidRPr="000634A4">
        <w:rPr>
          <w:sz w:val="22"/>
          <w:szCs w:val="22"/>
        </w:rPr>
        <w:t xml:space="preserve"> million </w:t>
      </w:r>
      <w:r w:rsidR="00780134" w:rsidRPr="000634A4">
        <w:rPr>
          <w:sz w:val="22"/>
          <w:szCs w:val="22"/>
        </w:rPr>
        <w:t xml:space="preserve">as of </w:t>
      </w:r>
      <w:r w:rsidRPr="000634A4">
        <w:rPr>
          <w:sz w:val="22"/>
          <w:szCs w:val="22"/>
        </w:rPr>
        <w:t xml:space="preserve">December 31, </w:t>
      </w:r>
      <w:r w:rsidR="00F84422" w:rsidRPr="000634A4">
        <w:rPr>
          <w:sz w:val="22"/>
          <w:szCs w:val="22"/>
        </w:rPr>
        <w:t xml:space="preserve">2022 </w:t>
      </w:r>
      <w:r w:rsidRPr="000634A4">
        <w:rPr>
          <w:sz w:val="22"/>
          <w:szCs w:val="22"/>
        </w:rPr>
        <w:t xml:space="preserve">and </w:t>
      </w:r>
      <w:r w:rsidR="00F84422" w:rsidRPr="000634A4">
        <w:rPr>
          <w:sz w:val="22"/>
          <w:szCs w:val="22"/>
        </w:rPr>
        <w:t>2021</w:t>
      </w:r>
      <w:r w:rsidRPr="000634A4">
        <w:rPr>
          <w:sz w:val="22"/>
          <w:szCs w:val="22"/>
        </w:rPr>
        <w:t>, respectively. The valuation allowance relates to U</w:t>
      </w:r>
      <w:r w:rsidR="00C951F7" w:rsidRPr="000634A4">
        <w:rPr>
          <w:sz w:val="22"/>
          <w:szCs w:val="22"/>
        </w:rPr>
        <w:t>nited States</w:t>
      </w:r>
      <w:r w:rsidR="000A3365" w:rsidRPr="000634A4">
        <w:rPr>
          <w:sz w:val="22"/>
          <w:szCs w:val="22"/>
        </w:rPr>
        <w:t>,</w:t>
      </w:r>
      <w:r w:rsidRPr="000634A4">
        <w:rPr>
          <w:sz w:val="22"/>
          <w:szCs w:val="22"/>
        </w:rPr>
        <w:t xml:space="preserve"> and the Company’s Canadian</w:t>
      </w:r>
      <w:r w:rsidR="00AE1AAB" w:rsidRPr="000634A4">
        <w:rPr>
          <w:sz w:val="22"/>
          <w:szCs w:val="22"/>
        </w:rPr>
        <w:t>, German and the United Kingdom</w:t>
      </w:r>
      <w:r w:rsidR="00644604" w:rsidRPr="000634A4">
        <w:rPr>
          <w:sz w:val="22"/>
          <w:szCs w:val="22"/>
        </w:rPr>
        <w:t xml:space="preserve"> </w:t>
      </w:r>
      <w:r w:rsidR="00AE1AAB" w:rsidRPr="000634A4">
        <w:rPr>
          <w:sz w:val="22"/>
          <w:szCs w:val="22"/>
        </w:rPr>
        <w:t>s</w:t>
      </w:r>
      <w:r w:rsidRPr="000634A4">
        <w:rPr>
          <w:sz w:val="22"/>
          <w:szCs w:val="22"/>
        </w:rPr>
        <w:t>ubsidiar</w:t>
      </w:r>
      <w:r w:rsidR="00AE1AAB" w:rsidRPr="000634A4">
        <w:rPr>
          <w:sz w:val="22"/>
          <w:szCs w:val="22"/>
        </w:rPr>
        <w:t>ies</w:t>
      </w:r>
      <w:r w:rsidR="000A3365" w:rsidRPr="000634A4">
        <w:rPr>
          <w:sz w:val="22"/>
          <w:szCs w:val="22"/>
        </w:rPr>
        <w:t>’</w:t>
      </w:r>
      <w:r w:rsidRPr="000634A4">
        <w:rPr>
          <w:sz w:val="22"/>
          <w:szCs w:val="22"/>
        </w:rPr>
        <w:t xml:space="preserve"> deferred tax assets. The net change in the total valuation allowance was an</w:t>
      </w:r>
      <w:r w:rsidR="000F72BC" w:rsidRPr="000634A4">
        <w:rPr>
          <w:sz w:val="22"/>
          <w:szCs w:val="22"/>
        </w:rPr>
        <w:t xml:space="preserve"> </w:t>
      </w:r>
      <w:r w:rsidR="00442DCE" w:rsidRPr="000634A4">
        <w:rPr>
          <w:sz w:val="22"/>
          <w:szCs w:val="22"/>
        </w:rPr>
        <w:t xml:space="preserve">increase </w:t>
      </w:r>
      <w:r w:rsidRPr="000634A4">
        <w:rPr>
          <w:sz w:val="22"/>
          <w:szCs w:val="22"/>
        </w:rPr>
        <w:t xml:space="preserve">of </w:t>
      </w:r>
      <w:r w:rsidR="009A0651" w:rsidRPr="000634A4">
        <w:rPr>
          <w:sz w:val="22"/>
          <w:szCs w:val="22"/>
        </w:rPr>
        <w:t>$</w:t>
      </w:r>
      <w:r w:rsidR="00525A19" w:rsidRPr="000634A4">
        <w:rPr>
          <w:sz w:val="22"/>
          <w:szCs w:val="22"/>
        </w:rPr>
        <w:t>3.</w:t>
      </w:r>
      <w:r w:rsidR="00E02660" w:rsidRPr="000634A4">
        <w:rPr>
          <w:sz w:val="22"/>
          <w:szCs w:val="22"/>
        </w:rPr>
        <w:t>9</w:t>
      </w:r>
      <w:r w:rsidR="00525A19" w:rsidRPr="000634A4">
        <w:rPr>
          <w:sz w:val="22"/>
          <w:szCs w:val="22"/>
        </w:rPr>
        <w:t xml:space="preserve"> </w:t>
      </w:r>
      <w:r w:rsidR="00B661FE" w:rsidRPr="000634A4">
        <w:rPr>
          <w:sz w:val="22"/>
          <w:szCs w:val="22"/>
        </w:rPr>
        <w:t>million and</w:t>
      </w:r>
      <w:r w:rsidR="00395183" w:rsidRPr="000634A4">
        <w:rPr>
          <w:sz w:val="22"/>
          <w:szCs w:val="22"/>
        </w:rPr>
        <w:t xml:space="preserve"> </w:t>
      </w:r>
      <w:r w:rsidRPr="000634A4">
        <w:rPr>
          <w:sz w:val="22"/>
          <w:szCs w:val="22"/>
        </w:rPr>
        <w:t>$</w:t>
      </w:r>
      <w:r w:rsidR="007066C3" w:rsidRPr="000634A4">
        <w:rPr>
          <w:sz w:val="22"/>
          <w:szCs w:val="22"/>
        </w:rPr>
        <w:t>1.</w:t>
      </w:r>
      <w:r w:rsidR="00F84422" w:rsidRPr="000634A4">
        <w:rPr>
          <w:sz w:val="22"/>
          <w:szCs w:val="22"/>
        </w:rPr>
        <w:t xml:space="preserve">2 </w:t>
      </w:r>
      <w:r w:rsidRPr="000634A4">
        <w:rPr>
          <w:sz w:val="22"/>
          <w:szCs w:val="22"/>
        </w:rPr>
        <w:t>million for the year</w:t>
      </w:r>
      <w:r w:rsidR="00EB03A8" w:rsidRPr="000634A4">
        <w:rPr>
          <w:sz w:val="22"/>
          <w:szCs w:val="22"/>
        </w:rPr>
        <w:t>s</w:t>
      </w:r>
      <w:r w:rsidRPr="000634A4">
        <w:rPr>
          <w:sz w:val="22"/>
          <w:szCs w:val="22"/>
        </w:rPr>
        <w:t xml:space="preserve"> ended December 31, </w:t>
      </w:r>
      <w:r w:rsidR="00F84422" w:rsidRPr="000634A4">
        <w:rPr>
          <w:sz w:val="22"/>
          <w:szCs w:val="22"/>
        </w:rPr>
        <w:t xml:space="preserve">2022 </w:t>
      </w:r>
      <w:r w:rsidR="00EB03A8" w:rsidRPr="000634A4">
        <w:rPr>
          <w:sz w:val="22"/>
          <w:szCs w:val="22"/>
        </w:rPr>
        <w:t xml:space="preserve">and </w:t>
      </w:r>
      <w:r w:rsidRPr="000634A4">
        <w:rPr>
          <w:sz w:val="22"/>
          <w:szCs w:val="22"/>
        </w:rPr>
        <w:t xml:space="preserve">December 31, </w:t>
      </w:r>
      <w:r w:rsidR="00F84422" w:rsidRPr="000634A4">
        <w:rPr>
          <w:sz w:val="22"/>
          <w:szCs w:val="22"/>
        </w:rPr>
        <w:t>2021</w:t>
      </w:r>
      <w:r w:rsidR="00B661FE" w:rsidRPr="000634A4">
        <w:rPr>
          <w:sz w:val="22"/>
          <w:szCs w:val="22"/>
        </w:rPr>
        <w:t>, respectively</w:t>
      </w:r>
      <w:r w:rsidRPr="000634A4">
        <w:rPr>
          <w:sz w:val="22"/>
          <w:szCs w:val="22"/>
        </w:rPr>
        <w:t xml:space="preserve">.  </w:t>
      </w:r>
      <w:bookmarkStart w:id="54" w:name="_Hlk33015621"/>
    </w:p>
    <w:p w14:paraId="1B0FAB7C" w14:textId="77777777" w:rsidR="00A81DCD" w:rsidRPr="000634A4" w:rsidRDefault="00A81DCD" w:rsidP="00A81DCD">
      <w:pPr>
        <w:tabs>
          <w:tab w:val="left" w:pos="-720"/>
          <w:tab w:val="left" w:pos="720"/>
        </w:tabs>
        <w:suppressAutoHyphens/>
        <w:spacing w:line="240" w:lineRule="atLeast"/>
        <w:jc w:val="both"/>
        <w:rPr>
          <w:spacing w:val="-2"/>
          <w:sz w:val="22"/>
          <w:szCs w:val="22"/>
        </w:rPr>
      </w:pPr>
    </w:p>
    <w:p w14:paraId="4332687F" w14:textId="16327636" w:rsidR="00323AAA" w:rsidRPr="000634A4" w:rsidRDefault="00323AAA" w:rsidP="00323AAA">
      <w:pPr>
        <w:ind w:firstLine="720"/>
        <w:jc w:val="both"/>
        <w:rPr>
          <w:sz w:val="22"/>
          <w:szCs w:val="22"/>
        </w:rPr>
      </w:pPr>
      <w:bookmarkStart w:id="55" w:name="_Hlk62655777"/>
      <w:bookmarkEnd w:id="53"/>
      <w:r w:rsidRPr="000634A4">
        <w:rPr>
          <w:sz w:val="22"/>
          <w:szCs w:val="22"/>
        </w:rPr>
        <w:t xml:space="preserve">Despite the access to the overseas earnings and the resulting toll charge, </w:t>
      </w:r>
      <w:r w:rsidR="00433C57" w:rsidRPr="000634A4">
        <w:rPr>
          <w:sz w:val="22"/>
          <w:szCs w:val="22"/>
        </w:rPr>
        <w:t xml:space="preserve">the Company </w:t>
      </w:r>
      <w:r w:rsidRPr="000634A4">
        <w:rPr>
          <w:sz w:val="22"/>
          <w:szCs w:val="22"/>
        </w:rPr>
        <w:t>intend</w:t>
      </w:r>
      <w:r w:rsidR="00433C57" w:rsidRPr="000634A4">
        <w:rPr>
          <w:sz w:val="22"/>
          <w:szCs w:val="22"/>
        </w:rPr>
        <w:t>s</w:t>
      </w:r>
      <w:r w:rsidRPr="000634A4">
        <w:rPr>
          <w:sz w:val="22"/>
          <w:szCs w:val="22"/>
        </w:rPr>
        <w:t xml:space="preserve"> to indefinitely reinvest the foreign earnings in our foreign subsidiaries on account of the foreign jurisdiction withholding tax that the Company has to incur on the actual remittances. Unremitted earnings of foreign subsidiaries amounted to approximately </w:t>
      </w:r>
      <w:r w:rsidR="003220A7" w:rsidRPr="000634A4">
        <w:rPr>
          <w:sz w:val="22"/>
          <w:szCs w:val="22"/>
        </w:rPr>
        <w:t>$</w:t>
      </w:r>
      <w:r w:rsidR="0089338E" w:rsidRPr="000634A4">
        <w:rPr>
          <w:sz w:val="22"/>
          <w:szCs w:val="22"/>
        </w:rPr>
        <w:t xml:space="preserve">50.9 </w:t>
      </w:r>
      <w:r w:rsidR="0047358B" w:rsidRPr="000634A4">
        <w:rPr>
          <w:sz w:val="22"/>
          <w:szCs w:val="22"/>
        </w:rPr>
        <w:t xml:space="preserve">million </w:t>
      </w:r>
      <w:r w:rsidRPr="000634A4">
        <w:rPr>
          <w:sz w:val="22"/>
          <w:szCs w:val="22"/>
        </w:rPr>
        <w:t xml:space="preserve">at December 31, </w:t>
      </w:r>
      <w:r w:rsidR="00F84422" w:rsidRPr="000634A4">
        <w:rPr>
          <w:sz w:val="22"/>
          <w:szCs w:val="22"/>
        </w:rPr>
        <w:t>2022</w:t>
      </w:r>
      <w:r w:rsidRPr="000634A4">
        <w:rPr>
          <w:sz w:val="22"/>
          <w:szCs w:val="22"/>
        </w:rPr>
        <w:t>. If such earnings are repatriated in the future, or are no longer deemed to be indefinitely reinvested, the Company would have to accrue the applicable amount of foreign jurisdiction withholding taxes associated with such remittances</w:t>
      </w:r>
      <w:bookmarkEnd w:id="55"/>
      <w:r w:rsidRPr="000634A4">
        <w:rPr>
          <w:sz w:val="22"/>
          <w:szCs w:val="22"/>
        </w:rPr>
        <w:t xml:space="preserve">. </w:t>
      </w:r>
    </w:p>
    <w:bookmarkEnd w:id="54"/>
    <w:p w14:paraId="7FB3C386" w14:textId="559E51C7" w:rsidR="00A30528" w:rsidRPr="000634A4" w:rsidRDefault="00A81DCD" w:rsidP="00A81DCD">
      <w:pPr>
        <w:rPr>
          <w:sz w:val="22"/>
          <w:szCs w:val="22"/>
        </w:rPr>
      </w:pPr>
      <w:r w:rsidRPr="000634A4">
        <w:rPr>
          <w:spacing w:val="-2"/>
          <w:sz w:val="22"/>
          <w:szCs w:val="22"/>
        </w:rPr>
        <w:t xml:space="preserve"> </w:t>
      </w:r>
    </w:p>
    <w:p w14:paraId="5E126CA2" w14:textId="00F11D9A" w:rsidR="00A81DCD" w:rsidRPr="000634A4" w:rsidRDefault="00A81DCD" w:rsidP="00A81DCD">
      <w:pPr>
        <w:tabs>
          <w:tab w:val="left" w:pos="-720"/>
          <w:tab w:val="left" w:pos="720"/>
        </w:tabs>
        <w:suppressAutoHyphens/>
        <w:spacing w:line="240" w:lineRule="atLeast"/>
        <w:ind w:right="180"/>
        <w:jc w:val="both"/>
        <w:rPr>
          <w:spacing w:val="-2"/>
          <w:sz w:val="22"/>
          <w:szCs w:val="22"/>
        </w:rPr>
      </w:pPr>
      <w:r w:rsidRPr="000634A4">
        <w:rPr>
          <w:spacing w:val="-2"/>
          <w:sz w:val="22"/>
          <w:szCs w:val="22"/>
        </w:rPr>
        <w:tab/>
        <w:t>United States and foreign components of loss before provision for income taxes for each of the two years ended December 31</w:t>
      </w:r>
      <w:r w:rsidR="00302746" w:rsidRPr="000634A4">
        <w:rPr>
          <w:spacing w:val="-2"/>
          <w:sz w:val="22"/>
          <w:szCs w:val="22"/>
        </w:rPr>
        <w:t xml:space="preserve">, </w:t>
      </w:r>
      <w:r w:rsidR="00780134" w:rsidRPr="000634A4">
        <w:rPr>
          <w:spacing w:val="-2"/>
          <w:sz w:val="22"/>
          <w:szCs w:val="22"/>
        </w:rPr>
        <w:t xml:space="preserve">were as follows </w:t>
      </w:r>
      <w:r w:rsidRPr="000634A4">
        <w:rPr>
          <w:spacing w:val="-2"/>
          <w:sz w:val="22"/>
          <w:szCs w:val="22"/>
        </w:rPr>
        <w:t xml:space="preserve">(in thousands): </w:t>
      </w:r>
    </w:p>
    <w:p w14:paraId="01127C24" w14:textId="264795DB" w:rsidR="00A81DCD" w:rsidRPr="000634A4" w:rsidRDefault="00A81DCD" w:rsidP="005A109C">
      <w:pPr>
        <w:tabs>
          <w:tab w:val="left" w:pos="-720"/>
          <w:tab w:val="left" w:pos="720"/>
        </w:tabs>
        <w:suppressAutoHyphens/>
        <w:spacing w:line="240" w:lineRule="atLeast"/>
        <w:ind w:right="180"/>
        <w:jc w:val="center"/>
        <w:rPr>
          <w:spacing w:val="-2"/>
          <w:sz w:val="22"/>
          <w:szCs w:val="22"/>
        </w:rPr>
      </w:pPr>
      <w:r w:rsidRPr="000634A4">
        <w:rPr>
          <w:sz w:val="22"/>
          <w:szCs w:val="22"/>
        </w:rPr>
        <w:lastRenderedPageBreak/>
        <w:t xml:space="preserve"> </w:t>
      </w:r>
      <w:r w:rsidR="00302746" w:rsidRPr="000634A4">
        <w:rPr>
          <w:noProof/>
          <w:sz w:val="22"/>
          <w:szCs w:val="22"/>
        </w:rPr>
        <w:t xml:space="preserve"> </w:t>
      </w:r>
      <w:r w:rsidR="007C5549" w:rsidRPr="000634A4">
        <w:rPr>
          <w:sz w:val="22"/>
          <w:szCs w:val="22"/>
        </w:rPr>
        <w:t xml:space="preserve"> </w:t>
      </w:r>
      <w:r w:rsidR="00570798" w:rsidRPr="000634A4">
        <w:rPr>
          <w:sz w:val="22"/>
          <w:szCs w:val="22"/>
        </w:rPr>
        <w:t xml:space="preserve"> </w:t>
      </w:r>
      <w:r w:rsidR="0085176F" w:rsidRPr="000634A4">
        <w:rPr>
          <w:sz w:val="22"/>
          <w:szCs w:val="22"/>
        </w:rPr>
        <w:t xml:space="preserve"> </w:t>
      </w:r>
      <w:r w:rsidR="006D3FA2" w:rsidRPr="000634A4">
        <w:rPr>
          <w:sz w:val="22"/>
          <w:szCs w:val="22"/>
        </w:rPr>
        <w:t xml:space="preserve"> </w:t>
      </w:r>
      <w:r w:rsidR="001A48D5" w:rsidRPr="000634A4">
        <w:rPr>
          <w:sz w:val="22"/>
          <w:szCs w:val="22"/>
        </w:rPr>
        <w:t xml:space="preserve"> </w:t>
      </w:r>
      <w:r w:rsidR="00E02660" w:rsidRPr="000634A4">
        <w:rPr>
          <w:sz w:val="22"/>
          <w:szCs w:val="22"/>
        </w:rPr>
        <w:t xml:space="preserve"> </w:t>
      </w:r>
      <w:r w:rsidR="00E02660" w:rsidRPr="000634A4">
        <w:rPr>
          <w:noProof/>
        </w:rPr>
        <w:drawing>
          <wp:inline distT="0" distB="0" distL="0" distR="0" wp14:anchorId="1CF9B96F" wp14:editId="72CCB621">
            <wp:extent cx="6064250" cy="1282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64250" cy="1282700"/>
                    </a:xfrm>
                    <a:prstGeom prst="rect">
                      <a:avLst/>
                    </a:prstGeom>
                    <a:noFill/>
                    <a:ln>
                      <a:noFill/>
                    </a:ln>
                  </pic:spPr>
                </pic:pic>
              </a:graphicData>
            </a:graphic>
          </wp:inline>
        </w:drawing>
      </w:r>
    </w:p>
    <w:p w14:paraId="08957DD2" w14:textId="029F3459" w:rsidR="0061571D" w:rsidRPr="000634A4" w:rsidRDefault="00A81DCD" w:rsidP="0061571D">
      <w:pPr>
        <w:tabs>
          <w:tab w:val="left" w:pos="720"/>
        </w:tabs>
        <w:jc w:val="both"/>
        <w:rPr>
          <w:sz w:val="22"/>
          <w:szCs w:val="22"/>
        </w:rPr>
      </w:pPr>
      <w:bookmarkStart w:id="56" w:name="_Hlk258259"/>
      <w:r w:rsidRPr="000634A4">
        <w:rPr>
          <w:spacing w:val="-2"/>
          <w:sz w:val="22"/>
          <w:szCs w:val="22"/>
        </w:rPr>
        <w:tab/>
      </w:r>
      <w:bookmarkStart w:id="57" w:name="_Hlk64475925"/>
      <w:r w:rsidRPr="000634A4">
        <w:rPr>
          <w:spacing w:val="-2"/>
          <w:sz w:val="22"/>
          <w:szCs w:val="22"/>
        </w:rPr>
        <w:t xml:space="preserve">At December 31, </w:t>
      </w:r>
      <w:r w:rsidR="004B425A" w:rsidRPr="000634A4">
        <w:rPr>
          <w:spacing w:val="-2"/>
          <w:sz w:val="22"/>
          <w:szCs w:val="22"/>
        </w:rPr>
        <w:t>2022</w:t>
      </w:r>
      <w:r w:rsidRPr="000634A4">
        <w:rPr>
          <w:spacing w:val="-2"/>
          <w:sz w:val="22"/>
          <w:szCs w:val="22"/>
        </w:rPr>
        <w:t>, the Company ha</w:t>
      </w:r>
      <w:r w:rsidR="00780134" w:rsidRPr="000634A4">
        <w:rPr>
          <w:spacing w:val="-2"/>
          <w:sz w:val="22"/>
          <w:szCs w:val="22"/>
        </w:rPr>
        <w:t>d</w:t>
      </w:r>
      <w:r w:rsidRPr="000634A4">
        <w:rPr>
          <w:spacing w:val="-2"/>
          <w:sz w:val="22"/>
          <w:szCs w:val="22"/>
        </w:rPr>
        <w:t xml:space="preserve"> available U.S. federal net operating loss </w:t>
      </w:r>
      <w:r w:rsidR="000A3365" w:rsidRPr="000634A4">
        <w:rPr>
          <w:spacing w:val="-2"/>
          <w:sz w:val="22"/>
          <w:szCs w:val="22"/>
        </w:rPr>
        <w:t xml:space="preserve">(NOL) </w:t>
      </w:r>
      <w:r w:rsidRPr="000634A4">
        <w:rPr>
          <w:spacing w:val="-2"/>
          <w:sz w:val="22"/>
          <w:szCs w:val="22"/>
        </w:rPr>
        <w:t xml:space="preserve">carryforwards of approximately </w:t>
      </w:r>
      <w:r w:rsidR="00442DCE" w:rsidRPr="000634A4">
        <w:rPr>
          <w:spacing w:val="-2"/>
          <w:sz w:val="22"/>
          <w:szCs w:val="22"/>
        </w:rPr>
        <w:t>$</w:t>
      </w:r>
      <w:r w:rsidR="007B0AE0" w:rsidRPr="000634A4">
        <w:rPr>
          <w:spacing w:val="-2"/>
          <w:sz w:val="22"/>
          <w:szCs w:val="22"/>
        </w:rPr>
        <w:t xml:space="preserve">20.5 </w:t>
      </w:r>
      <w:r w:rsidRPr="000634A4">
        <w:rPr>
          <w:spacing w:val="-2"/>
          <w:sz w:val="22"/>
          <w:szCs w:val="22"/>
        </w:rPr>
        <w:t xml:space="preserve">million. These </w:t>
      </w:r>
      <w:r w:rsidR="000B2F13" w:rsidRPr="000634A4">
        <w:rPr>
          <w:spacing w:val="-2"/>
          <w:sz w:val="22"/>
          <w:szCs w:val="22"/>
        </w:rPr>
        <w:t xml:space="preserve">NOL </w:t>
      </w:r>
      <w:r w:rsidRPr="000634A4">
        <w:rPr>
          <w:spacing w:val="-2"/>
          <w:sz w:val="22"/>
          <w:szCs w:val="22"/>
        </w:rPr>
        <w:t xml:space="preserve">carryforwards expire at various times through the year </w:t>
      </w:r>
      <w:r w:rsidRPr="000634A4">
        <w:rPr>
          <w:spacing w:val="-2"/>
        </w:rPr>
        <w:t>2035</w:t>
      </w:r>
      <w:r w:rsidRPr="000634A4">
        <w:rPr>
          <w:spacing w:val="-2"/>
          <w:sz w:val="22"/>
          <w:szCs w:val="22"/>
        </w:rPr>
        <w:t xml:space="preserve">. </w:t>
      </w:r>
      <w:r w:rsidR="0061571D" w:rsidRPr="000634A4">
        <w:rPr>
          <w:sz w:val="22"/>
          <w:szCs w:val="22"/>
        </w:rPr>
        <w:t xml:space="preserve">The potential benefits from these balances have not been recognized for financial statement purposes. </w:t>
      </w:r>
    </w:p>
    <w:p w14:paraId="1EA2BB2A" w14:textId="77777777" w:rsidR="00E17670" w:rsidRPr="000634A4" w:rsidRDefault="00A81DCD" w:rsidP="00E17670">
      <w:pPr>
        <w:spacing w:line="240" w:lineRule="atLeast"/>
        <w:jc w:val="both"/>
        <w:rPr>
          <w:sz w:val="22"/>
          <w:szCs w:val="22"/>
          <w:shd w:val="clear" w:color="auto" w:fill="FFFFFF"/>
        </w:rPr>
      </w:pPr>
      <w:r w:rsidRPr="000634A4">
        <w:rPr>
          <w:spacing w:val="-2"/>
          <w:sz w:val="22"/>
          <w:szCs w:val="22"/>
        </w:rPr>
        <w:tab/>
      </w:r>
    </w:p>
    <w:p w14:paraId="63F30F99" w14:textId="2CC7BA15" w:rsidR="00E17670" w:rsidRPr="000634A4" w:rsidRDefault="00E17670" w:rsidP="00E17670">
      <w:pPr>
        <w:spacing w:line="240" w:lineRule="atLeast"/>
        <w:jc w:val="both"/>
        <w:rPr>
          <w:sz w:val="22"/>
          <w:szCs w:val="22"/>
          <w:shd w:val="clear" w:color="auto" w:fill="FFFFFF"/>
        </w:rPr>
      </w:pPr>
      <w:r w:rsidRPr="000634A4">
        <w:rPr>
          <w:color w:val="000000"/>
          <w:sz w:val="22"/>
          <w:szCs w:val="22"/>
          <w:shd w:val="clear" w:color="auto" w:fill="FFFFFF"/>
        </w:rPr>
        <w:t>          Under the CARES Act, the Internal Revenue Code was amended to allow for federal NOL carrybacks for five years to offset previous years</w:t>
      </w:r>
      <w:r w:rsidR="00D6643B" w:rsidRPr="000634A4">
        <w:rPr>
          <w:color w:val="000000"/>
          <w:sz w:val="22"/>
          <w:szCs w:val="22"/>
          <w:shd w:val="clear" w:color="auto" w:fill="FFFFFF"/>
        </w:rPr>
        <w:t>’</w:t>
      </w:r>
      <w:r w:rsidRPr="000634A4">
        <w:rPr>
          <w:color w:val="000000"/>
          <w:sz w:val="22"/>
          <w:szCs w:val="22"/>
          <w:shd w:val="clear" w:color="auto" w:fill="FFFFFF"/>
        </w:rPr>
        <w:t xml:space="preserve"> </w:t>
      </w:r>
      <w:r w:rsidR="00BE7DC3" w:rsidRPr="000634A4">
        <w:rPr>
          <w:color w:val="000000"/>
          <w:sz w:val="22"/>
          <w:szCs w:val="22"/>
          <w:shd w:val="clear" w:color="auto" w:fill="FFFFFF"/>
        </w:rPr>
        <w:t xml:space="preserve">taxable </w:t>
      </w:r>
      <w:r w:rsidRPr="000634A4">
        <w:rPr>
          <w:color w:val="000000"/>
          <w:sz w:val="22"/>
          <w:szCs w:val="22"/>
          <w:shd w:val="clear" w:color="auto" w:fill="FFFFFF"/>
        </w:rPr>
        <w:t xml:space="preserve">income or </w:t>
      </w:r>
      <w:r w:rsidR="00D41455" w:rsidRPr="000634A4">
        <w:rPr>
          <w:color w:val="000000"/>
          <w:sz w:val="22"/>
          <w:szCs w:val="22"/>
          <w:shd w:val="clear" w:color="auto" w:fill="FFFFFF"/>
        </w:rPr>
        <w:t xml:space="preserve">for the NOL to </w:t>
      </w:r>
      <w:r w:rsidRPr="000634A4">
        <w:rPr>
          <w:color w:val="000000"/>
          <w:sz w:val="22"/>
          <w:szCs w:val="22"/>
          <w:shd w:val="clear" w:color="auto" w:fill="FFFFFF"/>
        </w:rPr>
        <w:t xml:space="preserve">be carried forward indefinitely to offset 80% of taxable income for tax years 2021 and thereafter. As of the date the financial statements were issued, the state NOL carryforwards, if not utilized, will expire beginning in </w:t>
      </w:r>
      <w:r w:rsidR="0059039C" w:rsidRPr="000634A4">
        <w:rPr>
          <w:color w:val="000000"/>
          <w:sz w:val="22"/>
          <w:szCs w:val="22"/>
          <w:shd w:val="clear" w:color="auto" w:fill="FFFFFF"/>
        </w:rPr>
        <w:t>2031</w:t>
      </w:r>
      <w:r w:rsidRPr="000634A4">
        <w:rPr>
          <w:color w:val="000000"/>
          <w:sz w:val="22"/>
          <w:szCs w:val="22"/>
          <w:shd w:val="clear" w:color="auto" w:fill="FFFFFF"/>
        </w:rPr>
        <w:t>.</w:t>
      </w:r>
    </w:p>
    <w:p w14:paraId="47689546" w14:textId="28585C00" w:rsidR="00E17670" w:rsidRPr="000634A4" w:rsidRDefault="00E17670" w:rsidP="00A81DCD">
      <w:pPr>
        <w:tabs>
          <w:tab w:val="left" w:pos="720"/>
        </w:tabs>
        <w:jc w:val="both"/>
        <w:rPr>
          <w:spacing w:val="-2"/>
          <w:sz w:val="22"/>
          <w:szCs w:val="22"/>
        </w:rPr>
      </w:pPr>
    </w:p>
    <w:p w14:paraId="19DEDD31" w14:textId="5ACC9C38" w:rsidR="00A81DCD" w:rsidRPr="000634A4" w:rsidRDefault="00E17670" w:rsidP="00A81DCD">
      <w:pPr>
        <w:tabs>
          <w:tab w:val="left" w:pos="720"/>
        </w:tabs>
        <w:jc w:val="both"/>
        <w:rPr>
          <w:sz w:val="22"/>
          <w:szCs w:val="22"/>
        </w:rPr>
      </w:pPr>
      <w:r w:rsidRPr="000634A4">
        <w:rPr>
          <w:sz w:val="22"/>
          <w:szCs w:val="22"/>
        </w:rPr>
        <w:tab/>
        <w:t xml:space="preserve">On December 31, </w:t>
      </w:r>
      <w:r w:rsidR="00B32E89" w:rsidRPr="000634A4">
        <w:rPr>
          <w:sz w:val="22"/>
          <w:szCs w:val="22"/>
        </w:rPr>
        <w:t>2022</w:t>
      </w:r>
      <w:r w:rsidRPr="000634A4">
        <w:rPr>
          <w:sz w:val="22"/>
          <w:szCs w:val="22"/>
        </w:rPr>
        <w:t xml:space="preserve">, the Company’s Canadian subsidiaries had available </w:t>
      </w:r>
      <w:r w:rsidR="000B2F13" w:rsidRPr="000634A4">
        <w:rPr>
          <w:sz w:val="22"/>
          <w:szCs w:val="22"/>
        </w:rPr>
        <w:t>Canadian NOL</w:t>
      </w:r>
      <w:r w:rsidRPr="000634A4">
        <w:rPr>
          <w:sz w:val="22"/>
          <w:szCs w:val="22"/>
        </w:rPr>
        <w:t xml:space="preserve"> carryforwards of approximately $</w:t>
      </w:r>
      <w:r w:rsidR="00CF4422" w:rsidRPr="000634A4">
        <w:rPr>
          <w:sz w:val="22"/>
          <w:szCs w:val="22"/>
        </w:rPr>
        <w:t>28</w:t>
      </w:r>
      <w:r w:rsidR="00047B4F" w:rsidRPr="000634A4">
        <w:rPr>
          <w:sz w:val="22"/>
          <w:szCs w:val="22"/>
        </w:rPr>
        <w:t>.</w:t>
      </w:r>
      <w:r w:rsidR="00CF4422" w:rsidRPr="000634A4">
        <w:rPr>
          <w:sz w:val="22"/>
          <w:szCs w:val="22"/>
        </w:rPr>
        <w:t xml:space="preserve">3 </w:t>
      </w:r>
      <w:r w:rsidRPr="000634A4">
        <w:rPr>
          <w:sz w:val="22"/>
          <w:szCs w:val="22"/>
        </w:rPr>
        <w:t xml:space="preserve">million which </w:t>
      </w:r>
      <w:r w:rsidR="00D41455" w:rsidRPr="000634A4">
        <w:rPr>
          <w:sz w:val="22"/>
          <w:szCs w:val="22"/>
        </w:rPr>
        <w:t xml:space="preserve">will begin </w:t>
      </w:r>
      <w:r w:rsidR="00A81DCD" w:rsidRPr="000634A4">
        <w:rPr>
          <w:sz w:val="22"/>
          <w:szCs w:val="22"/>
        </w:rPr>
        <w:t xml:space="preserve">to expire in </w:t>
      </w:r>
      <w:r w:rsidR="00BA5E6A" w:rsidRPr="000634A4">
        <w:rPr>
          <w:sz w:val="22"/>
          <w:szCs w:val="22"/>
        </w:rPr>
        <w:t>2036</w:t>
      </w:r>
      <w:r w:rsidR="00A81DCD" w:rsidRPr="000634A4">
        <w:rPr>
          <w:sz w:val="22"/>
          <w:szCs w:val="22"/>
        </w:rPr>
        <w:t xml:space="preserve">. </w:t>
      </w:r>
      <w:r w:rsidR="0062447B" w:rsidRPr="000634A4">
        <w:rPr>
          <w:sz w:val="22"/>
          <w:szCs w:val="22"/>
        </w:rPr>
        <w:t>T</w:t>
      </w:r>
      <w:r w:rsidR="00A81DCD" w:rsidRPr="000634A4">
        <w:rPr>
          <w:sz w:val="22"/>
          <w:szCs w:val="22"/>
        </w:rPr>
        <w:t xml:space="preserve">he potential benefits from these balances have not been recognized for financial statement purposes. </w:t>
      </w:r>
    </w:p>
    <w:p w14:paraId="76B0C8B1" w14:textId="77777777" w:rsidR="00CF4422" w:rsidRPr="000634A4" w:rsidRDefault="00CF4422" w:rsidP="00A81DCD">
      <w:pPr>
        <w:tabs>
          <w:tab w:val="left" w:pos="720"/>
        </w:tabs>
        <w:jc w:val="both"/>
        <w:rPr>
          <w:sz w:val="22"/>
          <w:szCs w:val="22"/>
        </w:rPr>
      </w:pPr>
    </w:p>
    <w:p w14:paraId="1CD24276" w14:textId="3027C61C" w:rsidR="00511ADF" w:rsidRPr="000634A4" w:rsidRDefault="00450707" w:rsidP="00A81DCD">
      <w:pPr>
        <w:tabs>
          <w:tab w:val="left" w:pos="720"/>
        </w:tabs>
        <w:jc w:val="both"/>
        <w:rPr>
          <w:sz w:val="22"/>
          <w:szCs w:val="22"/>
        </w:rPr>
      </w:pPr>
      <w:r w:rsidRPr="000634A4">
        <w:rPr>
          <w:sz w:val="22"/>
          <w:szCs w:val="22"/>
        </w:rPr>
        <w:tab/>
      </w:r>
      <w:r w:rsidR="00CF4422" w:rsidRPr="000634A4">
        <w:rPr>
          <w:sz w:val="22"/>
          <w:szCs w:val="22"/>
        </w:rPr>
        <w:t xml:space="preserve">On December 31, 2022, the Company’s </w:t>
      </w:r>
      <w:r w:rsidR="000B2F13" w:rsidRPr="000634A4">
        <w:rPr>
          <w:sz w:val="22"/>
          <w:szCs w:val="22"/>
        </w:rPr>
        <w:t>German and the United Kingdom s</w:t>
      </w:r>
      <w:r w:rsidR="00CF4422" w:rsidRPr="000634A4">
        <w:rPr>
          <w:sz w:val="22"/>
          <w:szCs w:val="22"/>
        </w:rPr>
        <w:t xml:space="preserve">ubsidiaries had available </w:t>
      </w:r>
      <w:r w:rsidR="000B2F13" w:rsidRPr="000634A4">
        <w:rPr>
          <w:sz w:val="22"/>
          <w:szCs w:val="22"/>
        </w:rPr>
        <w:t>NOL</w:t>
      </w:r>
      <w:r w:rsidR="00CF4422" w:rsidRPr="000634A4">
        <w:rPr>
          <w:sz w:val="22"/>
          <w:szCs w:val="22"/>
        </w:rPr>
        <w:t xml:space="preserve"> carryforwards of approximately $2.</w:t>
      </w:r>
      <w:r w:rsidR="00E81168" w:rsidRPr="000634A4">
        <w:rPr>
          <w:sz w:val="22"/>
          <w:szCs w:val="22"/>
        </w:rPr>
        <w:t>2</w:t>
      </w:r>
      <w:r w:rsidR="00CF4422" w:rsidRPr="000634A4">
        <w:rPr>
          <w:sz w:val="22"/>
          <w:szCs w:val="22"/>
        </w:rPr>
        <w:t xml:space="preserve"> millio</w:t>
      </w:r>
      <w:r w:rsidR="000B2F13" w:rsidRPr="000634A4">
        <w:rPr>
          <w:sz w:val="22"/>
          <w:szCs w:val="22"/>
        </w:rPr>
        <w:t>n.</w:t>
      </w:r>
      <w:r w:rsidRPr="000634A4">
        <w:rPr>
          <w:sz w:val="22"/>
          <w:szCs w:val="22"/>
        </w:rPr>
        <w:t xml:space="preserve"> </w:t>
      </w:r>
      <w:r w:rsidR="00CF4422" w:rsidRPr="000634A4">
        <w:rPr>
          <w:sz w:val="22"/>
          <w:szCs w:val="22"/>
        </w:rPr>
        <w:t xml:space="preserve">The potential benefits from these balances have not been recognized for financial statement purposes. </w:t>
      </w:r>
    </w:p>
    <w:p w14:paraId="6AE8D828" w14:textId="77777777" w:rsidR="00CF4422" w:rsidRPr="000634A4" w:rsidRDefault="00CF4422" w:rsidP="00A81DCD">
      <w:pPr>
        <w:tabs>
          <w:tab w:val="left" w:pos="720"/>
        </w:tabs>
        <w:jc w:val="both"/>
        <w:rPr>
          <w:sz w:val="22"/>
          <w:szCs w:val="22"/>
        </w:rPr>
      </w:pPr>
    </w:p>
    <w:p w14:paraId="249F801C" w14:textId="6532A0E3" w:rsidR="0085176F" w:rsidRPr="000634A4" w:rsidRDefault="00A81DCD" w:rsidP="00633392">
      <w:pPr>
        <w:tabs>
          <w:tab w:val="left" w:pos="-720"/>
          <w:tab w:val="left" w:pos="720"/>
        </w:tabs>
        <w:suppressAutoHyphens/>
        <w:spacing w:line="240" w:lineRule="atLeast"/>
        <w:jc w:val="both"/>
        <w:rPr>
          <w:spacing w:val="-2"/>
          <w:sz w:val="22"/>
          <w:szCs w:val="22"/>
        </w:rPr>
      </w:pPr>
      <w:r w:rsidRPr="000634A4">
        <w:rPr>
          <w:spacing w:val="-2"/>
          <w:sz w:val="22"/>
          <w:szCs w:val="22"/>
        </w:rPr>
        <w:tab/>
        <w:t>The Company had unrecognized tax benefits of $</w:t>
      </w:r>
      <w:r w:rsidR="008D7A71" w:rsidRPr="000634A4">
        <w:rPr>
          <w:spacing w:val="-2"/>
          <w:sz w:val="22"/>
          <w:szCs w:val="22"/>
        </w:rPr>
        <w:t xml:space="preserve">1.7 </w:t>
      </w:r>
      <w:r w:rsidRPr="000634A4">
        <w:rPr>
          <w:spacing w:val="-2"/>
          <w:sz w:val="22"/>
          <w:szCs w:val="22"/>
        </w:rPr>
        <w:t>million and $</w:t>
      </w:r>
      <w:r w:rsidR="00B32E89" w:rsidRPr="000634A4">
        <w:rPr>
          <w:spacing w:val="-2"/>
          <w:sz w:val="22"/>
          <w:szCs w:val="22"/>
        </w:rPr>
        <w:t>1.8</w:t>
      </w:r>
      <w:r w:rsidR="00532B94" w:rsidRPr="000634A4">
        <w:rPr>
          <w:spacing w:val="-2"/>
          <w:sz w:val="22"/>
          <w:szCs w:val="22"/>
        </w:rPr>
        <w:t xml:space="preserve"> </w:t>
      </w:r>
      <w:r w:rsidRPr="000634A4">
        <w:rPr>
          <w:spacing w:val="-2"/>
          <w:sz w:val="22"/>
          <w:szCs w:val="22"/>
        </w:rPr>
        <w:t xml:space="preserve">million as of December 31, </w:t>
      </w:r>
      <w:r w:rsidR="00B32E89" w:rsidRPr="000634A4">
        <w:rPr>
          <w:spacing w:val="-2"/>
          <w:sz w:val="22"/>
          <w:szCs w:val="22"/>
        </w:rPr>
        <w:t>2022</w:t>
      </w:r>
      <w:r w:rsidR="00E17670" w:rsidRPr="000634A4">
        <w:rPr>
          <w:spacing w:val="-2"/>
          <w:sz w:val="22"/>
          <w:szCs w:val="22"/>
        </w:rPr>
        <w:t>,</w:t>
      </w:r>
      <w:r w:rsidR="00532B94" w:rsidRPr="000634A4">
        <w:rPr>
          <w:spacing w:val="-2"/>
          <w:sz w:val="22"/>
          <w:szCs w:val="22"/>
        </w:rPr>
        <w:t xml:space="preserve"> </w:t>
      </w:r>
      <w:r w:rsidRPr="000634A4">
        <w:rPr>
          <w:spacing w:val="-2"/>
          <w:sz w:val="22"/>
          <w:szCs w:val="22"/>
        </w:rPr>
        <w:t xml:space="preserve">and </w:t>
      </w:r>
      <w:r w:rsidR="00B32E89" w:rsidRPr="000634A4">
        <w:rPr>
          <w:spacing w:val="-2"/>
          <w:sz w:val="22"/>
          <w:szCs w:val="22"/>
        </w:rPr>
        <w:t>2021</w:t>
      </w:r>
      <w:r w:rsidRPr="000634A4">
        <w:rPr>
          <w:spacing w:val="-2"/>
          <w:sz w:val="22"/>
          <w:szCs w:val="22"/>
        </w:rPr>
        <w:t xml:space="preserve">, respectively. </w:t>
      </w:r>
      <w:r w:rsidR="002247C0" w:rsidRPr="000634A4">
        <w:rPr>
          <w:spacing w:val="-2"/>
          <w:sz w:val="22"/>
          <w:szCs w:val="22"/>
        </w:rPr>
        <w:t xml:space="preserve">The decrease in </w:t>
      </w:r>
      <w:r w:rsidR="00C56D87" w:rsidRPr="000634A4">
        <w:rPr>
          <w:spacing w:val="-2"/>
          <w:sz w:val="22"/>
          <w:szCs w:val="22"/>
        </w:rPr>
        <w:t>unrecognized tax benefit</w:t>
      </w:r>
      <w:r w:rsidR="00E17670" w:rsidRPr="000634A4">
        <w:rPr>
          <w:spacing w:val="-2"/>
          <w:sz w:val="22"/>
          <w:szCs w:val="22"/>
        </w:rPr>
        <w:t>s</w:t>
      </w:r>
      <w:r w:rsidR="00C56D87" w:rsidRPr="000634A4">
        <w:rPr>
          <w:spacing w:val="-2"/>
          <w:sz w:val="22"/>
          <w:szCs w:val="22"/>
        </w:rPr>
        <w:t xml:space="preserve"> </w:t>
      </w:r>
      <w:r w:rsidR="00202CA5" w:rsidRPr="000634A4">
        <w:rPr>
          <w:spacing w:val="-2"/>
          <w:sz w:val="22"/>
          <w:szCs w:val="22"/>
        </w:rPr>
        <w:t>resulted from the</w:t>
      </w:r>
      <w:r w:rsidR="00023137" w:rsidRPr="000634A4">
        <w:rPr>
          <w:spacing w:val="-2"/>
          <w:sz w:val="22"/>
          <w:szCs w:val="22"/>
        </w:rPr>
        <w:t xml:space="preserve"> reversal of </w:t>
      </w:r>
      <w:r w:rsidR="00527350" w:rsidRPr="000634A4">
        <w:rPr>
          <w:spacing w:val="-2"/>
          <w:sz w:val="22"/>
          <w:szCs w:val="22"/>
        </w:rPr>
        <w:t xml:space="preserve">a </w:t>
      </w:r>
      <w:r w:rsidR="00023137" w:rsidRPr="000634A4">
        <w:rPr>
          <w:spacing w:val="-2"/>
          <w:sz w:val="22"/>
          <w:szCs w:val="22"/>
        </w:rPr>
        <w:t xml:space="preserve">prior </w:t>
      </w:r>
      <w:r w:rsidR="00FC29C3" w:rsidRPr="000634A4">
        <w:rPr>
          <w:spacing w:val="-2"/>
          <w:sz w:val="22"/>
          <w:szCs w:val="22"/>
        </w:rPr>
        <w:t>year</w:t>
      </w:r>
      <w:r w:rsidR="00D8131E" w:rsidRPr="000634A4">
        <w:rPr>
          <w:spacing w:val="-2"/>
          <w:sz w:val="22"/>
          <w:szCs w:val="22"/>
        </w:rPr>
        <w:t>’s</w:t>
      </w:r>
      <w:r w:rsidR="00023137" w:rsidRPr="000634A4">
        <w:rPr>
          <w:spacing w:val="-2"/>
          <w:sz w:val="22"/>
          <w:szCs w:val="22"/>
        </w:rPr>
        <w:t xml:space="preserve"> </w:t>
      </w:r>
      <w:r w:rsidR="00202CA5" w:rsidRPr="000634A4">
        <w:rPr>
          <w:spacing w:val="-2"/>
          <w:sz w:val="22"/>
          <w:szCs w:val="22"/>
        </w:rPr>
        <w:t xml:space="preserve">accrual due to </w:t>
      </w:r>
      <w:r w:rsidR="00023137" w:rsidRPr="000634A4">
        <w:rPr>
          <w:spacing w:val="-2"/>
          <w:sz w:val="22"/>
          <w:szCs w:val="22"/>
        </w:rPr>
        <w:t xml:space="preserve">tax </w:t>
      </w:r>
      <w:r w:rsidR="00202CA5" w:rsidRPr="000634A4">
        <w:rPr>
          <w:spacing w:val="-2"/>
          <w:sz w:val="22"/>
          <w:szCs w:val="22"/>
        </w:rPr>
        <w:t>settlement</w:t>
      </w:r>
      <w:r w:rsidR="00BC2EE3" w:rsidRPr="000634A4">
        <w:rPr>
          <w:spacing w:val="-2"/>
          <w:sz w:val="22"/>
          <w:szCs w:val="22"/>
        </w:rPr>
        <w:t>s</w:t>
      </w:r>
      <w:r w:rsidR="00202CA5" w:rsidRPr="000634A4">
        <w:rPr>
          <w:spacing w:val="-2"/>
          <w:sz w:val="22"/>
          <w:szCs w:val="22"/>
        </w:rPr>
        <w:t>.</w:t>
      </w:r>
      <w:r w:rsidR="00633392" w:rsidRPr="000634A4">
        <w:rPr>
          <w:spacing w:val="-2"/>
          <w:sz w:val="22"/>
          <w:szCs w:val="22"/>
        </w:rPr>
        <w:t xml:space="preserve"> </w:t>
      </w:r>
      <w:r w:rsidR="004B17FC" w:rsidRPr="000634A4">
        <w:rPr>
          <w:spacing w:val="-2"/>
          <w:sz w:val="22"/>
          <w:szCs w:val="22"/>
        </w:rPr>
        <w:t>The</w:t>
      </w:r>
      <w:r w:rsidR="0085176F" w:rsidRPr="000634A4">
        <w:rPr>
          <w:spacing w:val="-2"/>
          <w:sz w:val="22"/>
          <w:szCs w:val="22"/>
        </w:rPr>
        <w:t xml:space="preserve"> Company expects that unrecognized</w:t>
      </w:r>
      <w:r w:rsidRPr="000634A4">
        <w:rPr>
          <w:spacing w:val="-2"/>
          <w:sz w:val="22"/>
          <w:szCs w:val="22"/>
        </w:rPr>
        <w:t xml:space="preserve"> </w:t>
      </w:r>
      <w:r w:rsidR="0085176F" w:rsidRPr="000634A4">
        <w:rPr>
          <w:spacing w:val="-2"/>
          <w:sz w:val="22"/>
          <w:szCs w:val="22"/>
        </w:rPr>
        <w:t xml:space="preserve">tax benefits as of December 31, </w:t>
      </w:r>
      <w:r w:rsidR="00B32E89" w:rsidRPr="000634A4">
        <w:rPr>
          <w:spacing w:val="-2"/>
          <w:sz w:val="22"/>
          <w:szCs w:val="22"/>
        </w:rPr>
        <w:t xml:space="preserve">2022 </w:t>
      </w:r>
      <w:r w:rsidR="0085176F" w:rsidRPr="000634A4">
        <w:rPr>
          <w:spacing w:val="-2"/>
          <w:sz w:val="22"/>
          <w:szCs w:val="22"/>
        </w:rPr>
        <w:t>and December 31, </w:t>
      </w:r>
      <w:r w:rsidR="00B32E89" w:rsidRPr="000634A4">
        <w:rPr>
          <w:spacing w:val="-2"/>
          <w:sz w:val="22"/>
          <w:szCs w:val="22"/>
        </w:rPr>
        <w:t>2021</w:t>
      </w:r>
      <w:r w:rsidR="0085176F" w:rsidRPr="000634A4">
        <w:rPr>
          <w:spacing w:val="-2"/>
          <w:sz w:val="22"/>
          <w:szCs w:val="22"/>
        </w:rPr>
        <w:t xml:space="preserve">, if recognized, would have a material impact on the Company’s effective tax rate. </w:t>
      </w:r>
    </w:p>
    <w:bookmarkEnd w:id="57"/>
    <w:p w14:paraId="40E8D308" w14:textId="77777777" w:rsidR="008A71DE" w:rsidRPr="000634A4" w:rsidRDefault="008A71DE" w:rsidP="000D7D54">
      <w:pPr>
        <w:ind w:firstLine="720"/>
        <w:jc w:val="both"/>
        <w:rPr>
          <w:sz w:val="22"/>
          <w:szCs w:val="22"/>
        </w:rPr>
      </w:pPr>
    </w:p>
    <w:p w14:paraId="2040EA01" w14:textId="006FC534" w:rsidR="000D7D54" w:rsidRPr="000634A4" w:rsidRDefault="000D7D54" w:rsidP="000D7D54">
      <w:pPr>
        <w:ind w:firstLine="720"/>
        <w:jc w:val="both"/>
        <w:rPr>
          <w:sz w:val="22"/>
          <w:szCs w:val="22"/>
          <w:lang w:eastAsia="en-PH"/>
        </w:rPr>
      </w:pPr>
      <w:r w:rsidRPr="000634A4">
        <w:rPr>
          <w:sz w:val="22"/>
          <w:szCs w:val="22"/>
        </w:rPr>
        <w:t xml:space="preserve">The Company is subject to Federal income tax, as well as income tax in various states and foreign jurisdictions. The Company has open </w:t>
      </w:r>
      <w:r w:rsidR="003F58E6" w:rsidRPr="000634A4">
        <w:rPr>
          <w:sz w:val="22"/>
          <w:szCs w:val="22"/>
        </w:rPr>
        <w:t>tax years</w:t>
      </w:r>
      <w:r w:rsidRPr="000634A4">
        <w:rPr>
          <w:sz w:val="22"/>
          <w:szCs w:val="22"/>
        </w:rPr>
        <w:t xml:space="preserve"> for U.S. Federal and state taxes from 201</w:t>
      </w:r>
      <w:r w:rsidR="00E26211" w:rsidRPr="000634A4">
        <w:rPr>
          <w:sz w:val="22"/>
          <w:szCs w:val="22"/>
        </w:rPr>
        <w:t>7</w:t>
      </w:r>
      <w:r w:rsidRPr="000634A4">
        <w:rPr>
          <w:sz w:val="22"/>
          <w:szCs w:val="22"/>
        </w:rPr>
        <w:t xml:space="preserve"> through 20</w:t>
      </w:r>
      <w:r w:rsidR="001A3E7C" w:rsidRPr="000634A4">
        <w:rPr>
          <w:sz w:val="22"/>
          <w:szCs w:val="22"/>
        </w:rPr>
        <w:t>2</w:t>
      </w:r>
      <w:r w:rsidR="00E26211" w:rsidRPr="000634A4">
        <w:rPr>
          <w:sz w:val="22"/>
          <w:szCs w:val="22"/>
        </w:rPr>
        <w:t>1</w:t>
      </w:r>
      <w:r w:rsidRPr="000634A4">
        <w:rPr>
          <w:sz w:val="22"/>
          <w:szCs w:val="22"/>
        </w:rPr>
        <w:t xml:space="preserve">. Various foreign subsidiaries have open tax years from </w:t>
      </w:r>
      <w:r w:rsidR="00047B4F" w:rsidRPr="000634A4">
        <w:rPr>
          <w:sz w:val="22"/>
          <w:szCs w:val="22"/>
        </w:rPr>
        <w:t xml:space="preserve">2004 </w:t>
      </w:r>
      <w:r w:rsidRPr="000634A4">
        <w:rPr>
          <w:sz w:val="22"/>
          <w:szCs w:val="22"/>
        </w:rPr>
        <w:t xml:space="preserve">through </w:t>
      </w:r>
      <w:r w:rsidR="0068043E" w:rsidRPr="000634A4">
        <w:rPr>
          <w:sz w:val="22"/>
          <w:szCs w:val="22"/>
        </w:rPr>
        <w:t>2022</w:t>
      </w:r>
      <w:r w:rsidRPr="000634A4">
        <w:rPr>
          <w:sz w:val="22"/>
          <w:szCs w:val="22"/>
        </w:rPr>
        <w:t xml:space="preserve">, some of which are under audit by local tax authorities. </w:t>
      </w:r>
      <w:r w:rsidR="009778F9" w:rsidRPr="000634A4">
        <w:rPr>
          <w:sz w:val="22"/>
          <w:szCs w:val="22"/>
        </w:rPr>
        <w:t xml:space="preserve">The Company </w:t>
      </w:r>
      <w:r w:rsidRPr="000634A4">
        <w:rPr>
          <w:sz w:val="22"/>
          <w:szCs w:val="22"/>
        </w:rPr>
        <w:t xml:space="preserve">believes that </w:t>
      </w:r>
      <w:r w:rsidR="009778F9" w:rsidRPr="000634A4">
        <w:rPr>
          <w:sz w:val="22"/>
          <w:szCs w:val="22"/>
        </w:rPr>
        <w:t>its</w:t>
      </w:r>
      <w:r w:rsidRPr="000634A4">
        <w:rPr>
          <w:sz w:val="22"/>
          <w:szCs w:val="22"/>
        </w:rPr>
        <w:t xml:space="preserve"> </w:t>
      </w:r>
      <w:r w:rsidR="00BA14D2" w:rsidRPr="000634A4">
        <w:rPr>
          <w:sz w:val="22"/>
          <w:szCs w:val="22"/>
        </w:rPr>
        <w:t>accruals for</w:t>
      </w:r>
      <w:r w:rsidR="0047358B" w:rsidRPr="000634A4">
        <w:rPr>
          <w:sz w:val="22"/>
          <w:szCs w:val="22"/>
        </w:rPr>
        <w:t xml:space="preserve"> uncertain tax positions as of December 31, </w:t>
      </w:r>
      <w:r w:rsidR="00B32E89" w:rsidRPr="000634A4">
        <w:rPr>
          <w:sz w:val="22"/>
          <w:szCs w:val="22"/>
        </w:rPr>
        <w:t xml:space="preserve">2022 </w:t>
      </w:r>
      <w:r w:rsidR="0047358B" w:rsidRPr="000634A4">
        <w:rPr>
          <w:sz w:val="22"/>
          <w:szCs w:val="22"/>
        </w:rPr>
        <w:t xml:space="preserve">under </w:t>
      </w:r>
      <w:r w:rsidR="00BA14D2" w:rsidRPr="000634A4">
        <w:rPr>
          <w:sz w:val="22"/>
          <w:szCs w:val="22"/>
        </w:rPr>
        <w:t>ASC 740</w:t>
      </w:r>
      <w:r w:rsidR="0047358B" w:rsidRPr="000634A4">
        <w:rPr>
          <w:sz w:val="22"/>
          <w:szCs w:val="22"/>
        </w:rPr>
        <w:t>, Income Taxes</w:t>
      </w:r>
      <w:r w:rsidR="00BA14D2" w:rsidRPr="000634A4">
        <w:rPr>
          <w:sz w:val="22"/>
          <w:szCs w:val="22"/>
        </w:rPr>
        <w:t xml:space="preserve"> </w:t>
      </w:r>
      <w:r w:rsidRPr="000634A4">
        <w:rPr>
          <w:sz w:val="22"/>
          <w:szCs w:val="22"/>
        </w:rPr>
        <w:t xml:space="preserve">are adequate to cover </w:t>
      </w:r>
      <w:r w:rsidR="009778F9" w:rsidRPr="000634A4">
        <w:rPr>
          <w:sz w:val="22"/>
          <w:szCs w:val="22"/>
        </w:rPr>
        <w:t xml:space="preserve">the Company’s </w:t>
      </w:r>
      <w:r w:rsidRPr="000634A4">
        <w:rPr>
          <w:sz w:val="22"/>
          <w:szCs w:val="22"/>
        </w:rPr>
        <w:t xml:space="preserve">income tax exposures. </w:t>
      </w:r>
    </w:p>
    <w:p w14:paraId="755DE281" w14:textId="77777777" w:rsidR="00A81DCD" w:rsidRPr="000634A4" w:rsidRDefault="00A81DCD" w:rsidP="00A81DCD">
      <w:pPr>
        <w:tabs>
          <w:tab w:val="left" w:pos="-720"/>
          <w:tab w:val="left" w:pos="720"/>
        </w:tabs>
        <w:suppressAutoHyphens/>
        <w:spacing w:line="240" w:lineRule="atLeast"/>
        <w:jc w:val="both"/>
        <w:rPr>
          <w:spacing w:val="-2"/>
          <w:sz w:val="22"/>
          <w:szCs w:val="22"/>
        </w:rPr>
      </w:pPr>
      <w:r w:rsidRPr="000634A4">
        <w:rPr>
          <w:spacing w:val="-2"/>
          <w:sz w:val="22"/>
          <w:szCs w:val="22"/>
        </w:rPr>
        <w:tab/>
      </w:r>
      <w:bookmarkStart w:id="58" w:name="OLE_LINK9"/>
      <w:bookmarkStart w:id="59" w:name="OLE_LINK10"/>
      <w:bookmarkEnd w:id="56"/>
      <w:r w:rsidRPr="000634A4">
        <w:rPr>
          <w:spacing w:val="-2"/>
          <w:sz w:val="22"/>
          <w:szCs w:val="22"/>
        </w:rPr>
        <w:t xml:space="preserve"> </w:t>
      </w:r>
    </w:p>
    <w:p w14:paraId="2DC76D45" w14:textId="19B01F30" w:rsidR="00A81DCD" w:rsidRPr="000634A4" w:rsidRDefault="00A81DCD" w:rsidP="00A81DCD">
      <w:pPr>
        <w:ind w:firstLine="720"/>
        <w:jc w:val="both"/>
        <w:rPr>
          <w:sz w:val="22"/>
          <w:szCs w:val="22"/>
        </w:rPr>
      </w:pPr>
      <w:r w:rsidRPr="000634A4">
        <w:rPr>
          <w:sz w:val="22"/>
          <w:szCs w:val="22"/>
        </w:rPr>
        <w:t xml:space="preserve">The following table represents a roll forward of the Company’s unrecognized tax benefits and associated interest for the years ended </w:t>
      </w:r>
      <w:r w:rsidR="00F0141E" w:rsidRPr="000634A4">
        <w:rPr>
          <w:sz w:val="22"/>
          <w:szCs w:val="22"/>
        </w:rPr>
        <w:t>(</w:t>
      </w:r>
      <w:r w:rsidRPr="000634A4">
        <w:rPr>
          <w:sz w:val="22"/>
          <w:szCs w:val="22"/>
        </w:rPr>
        <w:t>in thousands):</w:t>
      </w:r>
    </w:p>
    <w:p w14:paraId="608240B7" w14:textId="73BE6536" w:rsidR="00A81DCD" w:rsidRPr="000634A4" w:rsidRDefault="00992366" w:rsidP="00A81DCD">
      <w:pPr>
        <w:jc w:val="center"/>
        <w:rPr>
          <w:sz w:val="22"/>
          <w:szCs w:val="22"/>
        </w:rPr>
      </w:pPr>
      <w:r w:rsidRPr="000634A4">
        <w:rPr>
          <w:sz w:val="22"/>
          <w:szCs w:val="22"/>
        </w:rPr>
        <w:t xml:space="preserve"> </w:t>
      </w:r>
      <w:r w:rsidR="00AE1A85" w:rsidRPr="000634A4">
        <w:rPr>
          <w:sz w:val="22"/>
          <w:szCs w:val="22"/>
        </w:rPr>
        <w:t xml:space="preserve"> </w:t>
      </w:r>
    </w:p>
    <w:p w14:paraId="6A3DB15D" w14:textId="625304AC" w:rsidR="007C6E32" w:rsidRPr="000634A4" w:rsidRDefault="00A9180E" w:rsidP="00A81DCD">
      <w:pPr>
        <w:jc w:val="center"/>
        <w:rPr>
          <w:sz w:val="22"/>
          <w:szCs w:val="22"/>
        </w:rPr>
      </w:pPr>
      <w:r w:rsidRPr="000634A4">
        <w:rPr>
          <w:sz w:val="22"/>
          <w:szCs w:val="22"/>
        </w:rPr>
        <w:lastRenderedPageBreak/>
        <w:t xml:space="preserve"> </w:t>
      </w:r>
      <w:r w:rsidR="00E34C21" w:rsidRPr="000634A4">
        <w:rPr>
          <w:noProof/>
          <w:lang w:eastAsia="zh-CN"/>
        </w:rPr>
        <w:drawing>
          <wp:inline distT="0" distB="0" distL="0" distR="0" wp14:anchorId="61CC38F9" wp14:editId="3B4B1711">
            <wp:extent cx="6064250" cy="21018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64250" cy="2101850"/>
                    </a:xfrm>
                    <a:prstGeom prst="rect">
                      <a:avLst/>
                    </a:prstGeom>
                    <a:noFill/>
                    <a:ln>
                      <a:noFill/>
                    </a:ln>
                  </pic:spPr>
                </pic:pic>
              </a:graphicData>
            </a:graphic>
          </wp:inline>
        </w:drawing>
      </w:r>
    </w:p>
    <w:p w14:paraId="4B84FA16" w14:textId="77777777" w:rsidR="00C65214" w:rsidRPr="000634A4" w:rsidRDefault="00C65214" w:rsidP="00513B1B">
      <w:pPr>
        <w:shd w:val="clear" w:color="auto" w:fill="FFFFFF" w:themeFill="background1"/>
        <w:ind w:firstLine="720"/>
        <w:jc w:val="both"/>
        <w:rPr>
          <w:i/>
          <w:sz w:val="22"/>
          <w:szCs w:val="22"/>
        </w:rPr>
      </w:pPr>
    </w:p>
    <w:p w14:paraId="24ADF1ED" w14:textId="5266C449" w:rsidR="00A81DCD" w:rsidRPr="000634A4" w:rsidRDefault="00A81DCD" w:rsidP="00513B1B">
      <w:pPr>
        <w:shd w:val="clear" w:color="auto" w:fill="FFFFFF" w:themeFill="background1"/>
        <w:ind w:firstLine="720"/>
        <w:jc w:val="both"/>
        <w:rPr>
          <w:i/>
          <w:sz w:val="22"/>
          <w:szCs w:val="22"/>
        </w:rPr>
      </w:pPr>
      <w:r w:rsidRPr="000634A4">
        <w:rPr>
          <w:i/>
          <w:sz w:val="22"/>
          <w:szCs w:val="22"/>
        </w:rPr>
        <w:t>Tax Assessments</w:t>
      </w:r>
    </w:p>
    <w:p w14:paraId="4026D55C" w14:textId="77777777" w:rsidR="00A81DCD" w:rsidRPr="000634A4" w:rsidRDefault="00A81DCD" w:rsidP="00513B1B">
      <w:pPr>
        <w:shd w:val="clear" w:color="auto" w:fill="FFFFFF" w:themeFill="background1"/>
        <w:jc w:val="both"/>
        <w:rPr>
          <w:sz w:val="22"/>
          <w:szCs w:val="22"/>
        </w:rPr>
      </w:pPr>
    </w:p>
    <w:p w14:paraId="07696D73" w14:textId="2A31FA85" w:rsidR="00F24D56" w:rsidRPr="000634A4" w:rsidRDefault="00F24D56" w:rsidP="00F24D56">
      <w:pPr>
        <w:ind w:firstLine="720"/>
        <w:jc w:val="both"/>
        <w:rPr>
          <w:sz w:val="22"/>
          <w:szCs w:val="22"/>
        </w:rPr>
      </w:pPr>
      <w:r w:rsidRPr="000634A4">
        <w:rPr>
          <w:sz w:val="22"/>
          <w:szCs w:val="22"/>
        </w:rPr>
        <w:t>In September 2015, the Company’s Indian subsidiary was subject to an inquiry by the Service Tax Department in India regarding the classification of services provided by this subsidiary, asserting that the services provided by this subsidiary fall under the category of online information and database access or retrieval services (OID Services), and not under the category of business support services (BS Services) that are exempt from service tax as historically indicated in the subsidiary’s service tax filings. The Company disagrees with the Service Tax Department’s position. In November 2019, the Commissioner of Central Tax, GST &amp; Central Excise issued an order confirming the Service Tax Department’s position. The Company is contesting this order in an appeal to the Customs, Excise and Service Tax Appellate Tribunal. In the event the Service Tax Department is ultimately successful in proving that the services fall under the category of OID Services, the revenues earned by the Company’s Indian subsidiary for the period July 2012 through November 2016 would be subject to a service tax of between 12.36% and 15%, and this subsidiary may also be liable for interest and penalties. The revenue of the Company’s Indian subsidiary during this period was approximately $</w:t>
      </w:r>
      <w:r w:rsidR="005E49D4" w:rsidRPr="000634A4">
        <w:rPr>
          <w:sz w:val="22"/>
          <w:szCs w:val="22"/>
        </w:rPr>
        <w:t>57</w:t>
      </w:r>
      <w:r w:rsidRPr="000634A4">
        <w:rPr>
          <w:sz w:val="22"/>
          <w:szCs w:val="22"/>
        </w:rPr>
        <w:t>.0 million. In accordance with new rules promulgated by the Service Tax Department, as of December 1, 2016 service tax is no longer applicable to OID or BS Services. Based on the Company’s assessment in consultation with the Company’s tax counsel, the Company has not recorded any tax liability for this case.</w:t>
      </w:r>
    </w:p>
    <w:p w14:paraId="1E11792A" w14:textId="77777777" w:rsidR="001A3E7C" w:rsidRPr="000634A4" w:rsidRDefault="001A3E7C" w:rsidP="00513B1B">
      <w:pPr>
        <w:shd w:val="clear" w:color="auto" w:fill="FFFFFF" w:themeFill="background1"/>
        <w:ind w:firstLine="720"/>
        <w:jc w:val="both"/>
        <w:rPr>
          <w:sz w:val="22"/>
          <w:szCs w:val="22"/>
        </w:rPr>
      </w:pPr>
    </w:p>
    <w:p w14:paraId="027A5CE0" w14:textId="5AED14D6" w:rsidR="00745395" w:rsidRPr="000634A4" w:rsidRDefault="00745395" w:rsidP="00745395">
      <w:pPr>
        <w:ind w:firstLine="720"/>
        <w:jc w:val="both"/>
        <w:rPr>
          <w:sz w:val="22"/>
          <w:szCs w:val="22"/>
        </w:rPr>
      </w:pPr>
      <w:r w:rsidRPr="000634A4">
        <w:rPr>
          <w:sz w:val="22"/>
          <w:szCs w:val="22"/>
        </w:rPr>
        <w:t>In a separate action relating to service tax refunds, in October 2016, the Company’s Indian subsidiary received notices from the Indian Service Tax Department in India seeking to reverse service tax refunds of approximately $</w:t>
      </w:r>
      <w:r w:rsidR="009107DE" w:rsidRPr="000634A4">
        <w:rPr>
          <w:sz w:val="22"/>
          <w:szCs w:val="22"/>
        </w:rPr>
        <w:t>1</w:t>
      </w:r>
      <w:r w:rsidR="00107864" w:rsidRPr="000634A4">
        <w:rPr>
          <w:sz w:val="22"/>
          <w:szCs w:val="22"/>
        </w:rPr>
        <w:t>21</w:t>
      </w:r>
      <w:r w:rsidRPr="000634A4">
        <w:rPr>
          <w:sz w:val="22"/>
          <w:szCs w:val="22"/>
        </w:rPr>
        <w:t>,000 previously granted to the Company’s Indian subsidiary for three quarters in 2014, asserting that the services provided by this subsidiary fall under the category of OID Services and not BS Services. The appeal was determined in favor of the Service Tax Department. The Company disagrees with the basis of this decision and is contesting it. The Company expects delays in its Indian subsidiary receiving further service tax refunds until this matter is adjudicated with finality, and currently has service tax credits of approximately $0.</w:t>
      </w:r>
      <w:r w:rsidR="00A057A8" w:rsidRPr="000634A4">
        <w:rPr>
          <w:sz w:val="22"/>
          <w:szCs w:val="22"/>
        </w:rPr>
        <w:t xml:space="preserve">8 </w:t>
      </w:r>
      <w:r w:rsidRPr="000634A4">
        <w:rPr>
          <w:sz w:val="22"/>
          <w:szCs w:val="22"/>
        </w:rPr>
        <w:t>million recorded as a receivable. Based on the Company’s assessment in consultation with the Company’s tax counsel, the Company has not recorded any tax liability for this case.</w:t>
      </w:r>
    </w:p>
    <w:p w14:paraId="2B49AFBA" w14:textId="77777777" w:rsidR="00745395" w:rsidRPr="000634A4" w:rsidRDefault="00745395" w:rsidP="00745395">
      <w:pPr>
        <w:jc w:val="both"/>
        <w:rPr>
          <w:sz w:val="22"/>
          <w:szCs w:val="22"/>
        </w:rPr>
      </w:pPr>
    </w:p>
    <w:p w14:paraId="44E74ECF" w14:textId="77777777" w:rsidR="00745395" w:rsidRPr="000634A4" w:rsidRDefault="00745395" w:rsidP="00745395">
      <w:pPr>
        <w:ind w:firstLine="720"/>
        <w:jc w:val="both"/>
        <w:rPr>
          <w:sz w:val="22"/>
          <w:szCs w:val="22"/>
        </w:rPr>
      </w:pPr>
      <w:r w:rsidRPr="000634A4">
        <w:rPr>
          <w:sz w:val="22"/>
          <w:szCs w:val="22"/>
        </w:rPr>
        <w:t xml:space="preserve">Substantial recovery against the Company in the above referenced 2015 Service Tax Department case could have a material adverse impact on the Company, and unfavorable rulings or recoveries in other tax proceedings could have a material adverse impact on the consolidated operating results of the period (and subsequent periods) in which the rulings or recovery occurs. </w:t>
      </w:r>
    </w:p>
    <w:p w14:paraId="32535490" w14:textId="0CB58BEA" w:rsidR="001A3E7C" w:rsidRPr="000634A4" w:rsidRDefault="001A3E7C" w:rsidP="00501AD3">
      <w:pPr>
        <w:shd w:val="clear" w:color="auto" w:fill="FFFFFF" w:themeFill="background1"/>
        <w:jc w:val="both"/>
        <w:rPr>
          <w:sz w:val="22"/>
          <w:szCs w:val="22"/>
        </w:rPr>
      </w:pPr>
      <w:r w:rsidRPr="000634A4">
        <w:rPr>
          <w:sz w:val="22"/>
          <w:szCs w:val="22"/>
        </w:rPr>
        <w:t xml:space="preserve"> </w:t>
      </w:r>
    </w:p>
    <w:p w14:paraId="159D4E34" w14:textId="77777777" w:rsidR="005D3824" w:rsidRPr="000634A4" w:rsidRDefault="005D3824" w:rsidP="00501AD3">
      <w:pPr>
        <w:shd w:val="clear" w:color="auto" w:fill="FFFFFF" w:themeFill="background1"/>
        <w:jc w:val="both"/>
        <w:rPr>
          <w:sz w:val="22"/>
          <w:szCs w:val="22"/>
        </w:rPr>
      </w:pPr>
    </w:p>
    <w:p w14:paraId="457AEA38" w14:textId="77777777" w:rsidR="005D3824" w:rsidRPr="000634A4" w:rsidRDefault="005D3824" w:rsidP="00501AD3">
      <w:pPr>
        <w:shd w:val="clear" w:color="auto" w:fill="FFFFFF" w:themeFill="background1"/>
        <w:jc w:val="both"/>
        <w:rPr>
          <w:sz w:val="22"/>
          <w:szCs w:val="22"/>
        </w:rPr>
      </w:pPr>
    </w:p>
    <w:p w14:paraId="1FE356E0" w14:textId="77777777" w:rsidR="005D3824" w:rsidRPr="000634A4" w:rsidRDefault="005D3824" w:rsidP="00501AD3">
      <w:pPr>
        <w:shd w:val="clear" w:color="auto" w:fill="FFFFFF" w:themeFill="background1"/>
        <w:jc w:val="both"/>
        <w:rPr>
          <w:sz w:val="22"/>
          <w:szCs w:val="22"/>
        </w:rPr>
      </w:pPr>
    </w:p>
    <w:bookmarkEnd w:id="58"/>
    <w:bookmarkEnd w:id="59"/>
    <w:p w14:paraId="65DACD33" w14:textId="3E253949" w:rsidR="007C1541" w:rsidRPr="000634A4" w:rsidRDefault="005D107E" w:rsidP="00A81DCD">
      <w:pPr>
        <w:ind w:firstLine="720"/>
        <w:jc w:val="both"/>
        <w:rPr>
          <w:b/>
          <w:bCs/>
          <w:spacing w:val="-2"/>
          <w:sz w:val="22"/>
          <w:szCs w:val="22"/>
        </w:rPr>
      </w:pPr>
      <w:r w:rsidRPr="000634A4">
        <w:rPr>
          <w:b/>
          <w:bCs/>
          <w:spacing w:val="-2"/>
          <w:sz w:val="22"/>
          <w:szCs w:val="22"/>
        </w:rPr>
        <w:t xml:space="preserve"> </w:t>
      </w:r>
    </w:p>
    <w:p w14:paraId="15FEF93F" w14:textId="77777777" w:rsidR="00A81DCD" w:rsidRPr="000634A4" w:rsidRDefault="00A81DCD" w:rsidP="005F7716">
      <w:pPr>
        <w:numPr>
          <w:ilvl w:val="0"/>
          <w:numId w:val="8"/>
        </w:numPr>
        <w:suppressAutoHyphens/>
        <w:spacing w:line="240" w:lineRule="atLeast"/>
        <w:ind w:right="90" w:hanging="720"/>
        <w:jc w:val="both"/>
        <w:rPr>
          <w:b/>
          <w:bCs/>
          <w:spacing w:val="-2"/>
          <w:sz w:val="22"/>
          <w:szCs w:val="22"/>
        </w:rPr>
      </w:pPr>
      <w:r w:rsidRPr="000634A4">
        <w:rPr>
          <w:b/>
          <w:bCs/>
          <w:spacing w:val="-2"/>
          <w:sz w:val="22"/>
          <w:szCs w:val="22"/>
        </w:rPr>
        <w:lastRenderedPageBreak/>
        <w:t>Long</w:t>
      </w:r>
      <w:r w:rsidR="00F816E5" w:rsidRPr="000634A4">
        <w:rPr>
          <w:b/>
          <w:bCs/>
          <w:spacing w:val="-2"/>
          <w:sz w:val="22"/>
          <w:szCs w:val="22"/>
        </w:rPr>
        <w:t>-</w:t>
      </w:r>
      <w:r w:rsidRPr="000634A4">
        <w:rPr>
          <w:b/>
          <w:bCs/>
          <w:spacing w:val="-2"/>
          <w:sz w:val="22"/>
          <w:szCs w:val="22"/>
        </w:rPr>
        <w:t>term obligations</w:t>
      </w:r>
    </w:p>
    <w:p w14:paraId="71AC9696" w14:textId="77777777" w:rsidR="00A81DCD" w:rsidRPr="000634A4" w:rsidRDefault="00A81DCD" w:rsidP="00A81DCD">
      <w:pPr>
        <w:tabs>
          <w:tab w:val="left" w:pos="-720"/>
        </w:tabs>
        <w:suppressAutoHyphens/>
        <w:spacing w:line="240" w:lineRule="atLeast"/>
        <w:ind w:right="90"/>
        <w:jc w:val="both"/>
        <w:rPr>
          <w:b/>
          <w:bCs/>
          <w:spacing w:val="-2"/>
          <w:sz w:val="22"/>
          <w:szCs w:val="22"/>
        </w:rPr>
      </w:pPr>
    </w:p>
    <w:p w14:paraId="0519FB3F" w14:textId="1E1E2E6F" w:rsidR="00A81DCD" w:rsidRPr="000634A4" w:rsidRDefault="00E46277" w:rsidP="00444C0A">
      <w:pPr>
        <w:tabs>
          <w:tab w:val="left" w:pos="-720"/>
        </w:tabs>
        <w:suppressAutoHyphens/>
        <w:spacing w:line="240" w:lineRule="atLeast"/>
        <w:ind w:left="720" w:hanging="720"/>
        <w:jc w:val="both"/>
        <w:rPr>
          <w:sz w:val="22"/>
          <w:szCs w:val="22"/>
        </w:rPr>
      </w:pPr>
      <w:r w:rsidRPr="000634A4">
        <w:rPr>
          <w:sz w:val="22"/>
          <w:szCs w:val="22"/>
        </w:rPr>
        <w:tab/>
      </w:r>
      <w:r w:rsidR="00A81DCD" w:rsidRPr="000634A4">
        <w:rPr>
          <w:sz w:val="22"/>
          <w:szCs w:val="22"/>
        </w:rPr>
        <w:t xml:space="preserve">Total long-term obligations as of December 31, </w:t>
      </w:r>
      <w:r w:rsidR="00745395" w:rsidRPr="000634A4">
        <w:rPr>
          <w:sz w:val="22"/>
          <w:szCs w:val="22"/>
        </w:rPr>
        <w:t xml:space="preserve">2022 </w:t>
      </w:r>
      <w:r w:rsidR="00A81DCD" w:rsidRPr="000634A4">
        <w:rPr>
          <w:sz w:val="22"/>
          <w:szCs w:val="22"/>
        </w:rPr>
        <w:t xml:space="preserve">and </w:t>
      </w:r>
      <w:r w:rsidR="00745395" w:rsidRPr="000634A4">
        <w:rPr>
          <w:sz w:val="22"/>
          <w:szCs w:val="22"/>
        </w:rPr>
        <w:t xml:space="preserve">2021 </w:t>
      </w:r>
      <w:r w:rsidR="00A81DCD" w:rsidRPr="000634A4">
        <w:rPr>
          <w:sz w:val="22"/>
          <w:szCs w:val="22"/>
        </w:rPr>
        <w:t>consist</w:t>
      </w:r>
      <w:r w:rsidR="00780134" w:rsidRPr="000634A4">
        <w:rPr>
          <w:sz w:val="22"/>
          <w:szCs w:val="22"/>
        </w:rPr>
        <w:t>ed</w:t>
      </w:r>
      <w:r w:rsidR="00A81DCD" w:rsidRPr="000634A4">
        <w:rPr>
          <w:sz w:val="22"/>
          <w:szCs w:val="22"/>
        </w:rPr>
        <w:t xml:space="preserve"> of the following (in </w:t>
      </w:r>
      <w:r w:rsidRPr="000634A4">
        <w:rPr>
          <w:sz w:val="22"/>
          <w:szCs w:val="22"/>
        </w:rPr>
        <w:t>th</w:t>
      </w:r>
      <w:r w:rsidR="00A81DCD" w:rsidRPr="000634A4">
        <w:rPr>
          <w:sz w:val="22"/>
          <w:szCs w:val="22"/>
        </w:rPr>
        <w:t>ousands):</w:t>
      </w:r>
    </w:p>
    <w:p w14:paraId="50C85203" w14:textId="3860922D" w:rsidR="00A81DCD" w:rsidRPr="000634A4" w:rsidRDefault="001D03AA" w:rsidP="00A81DCD">
      <w:pPr>
        <w:tabs>
          <w:tab w:val="left" w:pos="-720"/>
          <w:tab w:val="left" w:pos="720"/>
        </w:tabs>
        <w:suppressAutoHyphens/>
        <w:spacing w:line="240" w:lineRule="atLeast"/>
        <w:jc w:val="center"/>
        <w:rPr>
          <w:sz w:val="22"/>
          <w:szCs w:val="22"/>
        </w:rPr>
      </w:pPr>
      <w:r w:rsidRPr="000634A4">
        <w:rPr>
          <w:sz w:val="22"/>
          <w:szCs w:val="22"/>
        </w:rPr>
        <w:t xml:space="preserve"> </w:t>
      </w:r>
      <w:r w:rsidR="00F70671" w:rsidRPr="000634A4">
        <w:rPr>
          <w:sz w:val="22"/>
          <w:szCs w:val="22"/>
        </w:rPr>
        <w:t xml:space="preserve"> </w:t>
      </w:r>
      <w:r w:rsidR="00F70671" w:rsidRPr="000634A4">
        <w:rPr>
          <w:noProof/>
          <w:lang w:eastAsia="zh-CN"/>
        </w:rPr>
        <w:drawing>
          <wp:inline distT="0" distB="0" distL="0" distR="0" wp14:anchorId="339C8CBD" wp14:editId="7802548D">
            <wp:extent cx="4794250" cy="1816100"/>
            <wp:effectExtent l="0" t="0" r="635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94250" cy="1816100"/>
                    </a:xfrm>
                    <a:prstGeom prst="rect">
                      <a:avLst/>
                    </a:prstGeom>
                    <a:noFill/>
                    <a:ln>
                      <a:noFill/>
                    </a:ln>
                  </pic:spPr>
                </pic:pic>
              </a:graphicData>
            </a:graphic>
          </wp:inline>
        </w:drawing>
      </w:r>
    </w:p>
    <w:p w14:paraId="73147986" w14:textId="477B0877" w:rsidR="00A81DCD" w:rsidRPr="000634A4" w:rsidRDefault="00A81DCD" w:rsidP="00A81DCD">
      <w:pPr>
        <w:jc w:val="both"/>
        <w:rPr>
          <w:sz w:val="22"/>
          <w:szCs w:val="22"/>
        </w:rPr>
      </w:pPr>
      <w:r w:rsidRPr="000634A4">
        <w:rPr>
          <w:sz w:val="22"/>
          <w:szCs w:val="22"/>
        </w:rPr>
        <w:t xml:space="preserve">  </w:t>
      </w:r>
    </w:p>
    <w:p w14:paraId="56009B57" w14:textId="77777777" w:rsidR="00C65214" w:rsidRPr="000634A4" w:rsidRDefault="00C65214" w:rsidP="00A81DCD">
      <w:pPr>
        <w:jc w:val="both"/>
        <w:rPr>
          <w:sz w:val="22"/>
          <w:szCs w:val="22"/>
        </w:rPr>
      </w:pPr>
    </w:p>
    <w:p w14:paraId="73870D53" w14:textId="77777777" w:rsidR="00A81DCD" w:rsidRPr="000634A4" w:rsidRDefault="00A81DCD" w:rsidP="005F7716">
      <w:pPr>
        <w:numPr>
          <w:ilvl w:val="0"/>
          <w:numId w:val="8"/>
        </w:numPr>
        <w:tabs>
          <w:tab w:val="left" w:pos="-720"/>
        </w:tabs>
        <w:suppressAutoHyphens/>
        <w:spacing w:line="240" w:lineRule="atLeast"/>
        <w:ind w:right="90" w:hanging="720"/>
        <w:jc w:val="both"/>
        <w:rPr>
          <w:b/>
          <w:bCs/>
          <w:spacing w:val="-2"/>
          <w:sz w:val="22"/>
          <w:szCs w:val="22"/>
        </w:rPr>
      </w:pPr>
      <w:r w:rsidRPr="000634A4">
        <w:rPr>
          <w:b/>
          <w:bCs/>
          <w:spacing w:val="-2"/>
          <w:sz w:val="22"/>
          <w:szCs w:val="22"/>
        </w:rPr>
        <w:t>Commitments and contingencies</w:t>
      </w:r>
    </w:p>
    <w:p w14:paraId="1F172EE7" w14:textId="77777777" w:rsidR="00A81DCD" w:rsidRPr="000634A4" w:rsidRDefault="00A81DCD" w:rsidP="00A81DCD">
      <w:pPr>
        <w:tabs>
          <w:tab w:val="left" w:pos="-720"/>
          <w:tab w:val="left" w:pos="720"/>
        </w:tabs>
        <w:suppressAutoHyphens/>
        <w:spacing w:line="240" w:lineRule="atLeast"/>
        <w:jc w:val="both"/>
        <w:rPr>
          <w:spacing w:val="-2"/>
          <w:sz w:val="22"/>
          <w:szCs w:val="22"/>
        </w:rPr>
      </w:pPr>
      <w:r w:rsidRPr="000634A4">
        <w:rPr>
          <w:spacing w:val="-2"/>
          <w:sz w:val="22"/>
          <w:szCs w:val="22"/>
        </w:rPr>
        <w:t xml:space="preserve">                   </w:t>
      </w:r>
      <w:bookmarkStart w:id="60" w:name="_MON_1453751048"/>
      <w:bookmarkEnd w:id="60"/>
    </w:p>
    <w:p w14:paraId="576F103C" w14:textId="752DB86F" w:rsidR="00780134" w:rsidRPr="000634A4" w:rsidRDefault="00A81DCD" w:rsidP="00780134">
      <w:pPr>
        <w:ind w:firstLine="720"/>
        <w:jc w:val="both"/>
        <w:rPr>
          <w:sz w:val="22"/>
          <w:szCs w:val="22"/>
        </w:rPr>
      </w:pPr>
      <w:r w:rsidRPr="000634A4">
        <w:rPr>
          <w:b/>
          <w:bCs/>
          <w:spacing w:val="-2"/>
          <w:sz w:val="22"/>
          <w:szCs w:val="22"/>
        </w:rPr>
        <w:t xml:space="preserve">Litigation – </w:t>
      </w:r>
      <w:r w:rsidR="00A31760" w:rsidRPr="000634A4">
        <w:rPr>
          <w:sz w:val="22"/>
          <w:szCs w:val="22"/>
        </w:rPr>
        <w:t>In 2008, a judgment was rendered in the Philippines against a Philippine subsidiary of the Company that is no longer active and purportedly also against Innodata Inc., in favor of certain former employees of the Philippine subsidiary. The potential payment amount aggregates to approximately $5.9 million, plus legal interest that accrued at 12% per annum from August 13, 2008 to June 30, 2013, and thereafter accrued and continues to accrue at 6% per annum. The potential payment amount as expressed in U.S. dollars varies with the Philippine peso to U.S. dollar exchange rate. In December 2017, a group of 97 of the former employees of the Philippine subsidiary indicated that they proposed to record the judgment as to themselves in New Jersey. In January 2018, in response to an action initiated by Innodata Inc., the United States District Court for the District of New Jersey (“USDC”) entered a preliminary injunction that enjoins these former employees from pursuing or seeking recognition or enforcement of the judgment against Innodata Inc. in the U.S. during the pendency of the action and until further order of the USDC. In June 2018, the USDC entered a consent order administratively closing the action subject to return of the action to the active docket upon the written request of Innodata Inc. or the former employees, with the USDC retaining jurisdiction over the matter and the preliminary injunction remaining in full force and effect.</w:t>
      </w:r>
      <w:r w:rsidR="00780134" w:rsidRPr="000634A4">
        <w:rPr>
          <w:sz w:val="22"/>
          <w:szCs w:val="22"/>
        </w:rPr>
        <w:t xml:space="preserve"> </w:t>
      </w:r>
    </w:p>
    <w:p w14:paraId="5ACEB01A" w14:textId="77777777" w:rsidR="00A81DCD" w:rsidRPr="000634A4" w:rsidRDefault="00A81DCD" w:rsidP="00A81DCD">
      <w:pPr>
        <w:ind w:firstLine="720"/>
        <w:jc w:val="both"/>
        <w:rPr>
          <w:sz w:val="22"/>
          <w:szCs w:val="22"/>
        </w:rPr>
      </w:pPr>
    </w:p>
    <w:p w14:paraId="4646BB46" w14:textId="77777777" w:rsidR="00A81DCD" w:rsidRPr="000634A4" w:rsidRDefault="00A81DCD" w:rsidP="00A81DCD">
      <w:pPr>
        <w:ind w:firstLine="720"/>
        <w:jc w:val="both"/>
        <w:rPr>
          <w:sz w:val="22"/>
          <w:szCs w:val="22"/>
        </w:rPr>
      </w:pPr>
      <w:r w:rsidRPr="000634A4">
        <w:rPr>
          <w:sz w:val="22"/>
          <w:szCs w:val="22"/>
        </w:rPr>
        <w:t xml:space="preserve">The Company is also subject to various other legal proceedings and claims </w:t>
      </w:r>
      <w:r w:rsidR="00780134" w:rsidRPr="000634A4">
        <w:rPr>
          <w:sz w:val="22"/>
          <w:szCs w:val="22"/>
        </w:rPr>
        <w:t xml:space="preserve">that have </w:t>
      </w:r>
      <w:r w:rsidRPr="000634A4">
        <w:rPr>
          <w:sz w:val="22"/>
          <w:szCs w:val="22"/>
        </w:rPr>
        <w:t>arise</w:t>
      </w:r>
      <w:r w:rsidR="00780134" w:rsidRPr="000634A4">
        <w:rPr>
          <w:sz w:val="22"/>
          <w:szCs w:val="22"/>
        </w:rPr>
        <w:t>n</w:t>
      </w:r>
      <w:r w:rsidRPr="000634A4">
        <w:rPr>
          <w:sz w:val="22"/>
          <w:szCs w:val="22"/>
        </w:rPr>
        <w:t xml:space="preserve"> in the ordinary course of business. </w:t>
      </w:r>
    </w:p>
    <w:p w14:paraId="228B4080" w14:textId="77777777" w:rsidR="00A81DCD" w:rsidRPr="000634A4" w:rsidRDefault="00A81DCD" w:rsidP="00A81DCD">
      <w:pPr>
        <w:ind w:firstLine="720"/>
        <w:jc w:val="both"/>
        <w:rPr>
          <w:sz w:val="22"/>
          <w:szCs w:val="22"/>
        </w:rPr>
      </w:pPr>
    </w:p>
    <w:p w14:paraId="533640B2" w14:textId="0DFD27B9" w:rsidR="00A81DCD" w:rsidRPr="000634A4" w:rsidRDefault="005732FA" w:rsidP="00A81DCD">
      <w:pPr>
        <w:ind w:firstLine="720"/>
        <w:jc w:val="both"/>
        <w:rPr>
          <w:sz w:val="22"/>
          <w:szCs w:val="22"/>
        </w:rPr>
      </w:pPr>
      <w:r w:rsidRPr="000634A4">
        <w:rPr>
          <w:sz w:val="22"/>
          <w:szCs w:val="22"/>
        </w:rPr>
        <w:t>While management currently believes that the ultimate outcome of these proceedings will not have a material adverse effect on the Company’s consolidated financial position or overall trends in consolidated results of operations, litigation is subject to inherent</w:t>
      </w:r>
      <w:r w:rsidRPr="000634A4">
        <w:t xml:space="preserve"> </w:t>
      </w:r>
      <w:r w:rsidRPr="000634A4">
        <w:rPr>
          <w:sz w:val="22"/>
          <w:szCs w:val="22"/>
        </w:rPr>
        <w:t>uncertainties. Substantial recovery against the Company in the above-referenced Philippine action could have a material adverse</w:t>
      </w:r>
      <w:r w:rsidRPr="000634A4">
        <w:t xml:space="preserve"> </w:t>
      </w:r>
      <w:r w:rsidRPr="000634A4">
        <w:rPr>
          <w:sz w:val="22"/>
          <w:szCs w:val="22"/>
        </w:rPr>
        <w:t>impact on the Company, and unfavorable rulings or recoveries in the other proceedings could have a material adverse impact on the consolidated operating results in the period in which the ruling or recovery occurs. In addition, the Company’s estimate of the potential impact on the Company’s consolidated financial position or overall consolidated results of operations for the above referenced legal proceedings could change in the future.</w:t>
      </w:r>
      <w:r w:rsidR="00A81DCD" w:rsidRPr="000634A4">
        <w:rPr>
          <w:sz w:val="22"/>
          <w:szCs w:val="22"/>
        </w:rPr>
        <w:t xml:space="preserve"> </w:t>
      </w:r>
    </w:p>
    <w:p w14:paraId="635CD077" w14:textId="77777777" w:rsidR="00A81DCD" w:rsidRPr="000634A4" w:rsidRDefault="00A81DCD" w:rsidP="00A81DCD">
      <w:pPr>
        <w:jc w:val="both"/>
        <w:rPr>
          <w:sz w:val="22"/>
          <w:szCs w:val="22"/>
        </w:rPr>
      </w:pPr>
    </w:p>
    <w:p w14:paraId="6FC12737" w14:textId="5997D6AF" w:rsidR="00EC7FEB" w:rsidRPr="000634A4" w:rsidRDefault="00EC7FEB" w:rsidP="00EC7FEB">
      <w:pPr>
        <w:ind w:firstLine="720"/>
        <w:jc w:val="both"/>
        <w:rPr>
          <w:sz w:val="22"/>
          <w:szCs w:val="22"/>
        </w:rPr>
      </w:pPr>
      <w:r w:rsidRPr="000634A4">
        <w:rPr>
          <w:sz w:val="22"/>
          <w:szCs w:val="22"/>
        </w:rPr>
        <w:t>The Company’s legal accruals related to legal proceedings and claims are based on the Company’s determination of whether or not a loss is probable. The Company reviews outstanding proceedings and claims with external counsel to assess probability and estimates of loss. The accruals are adjusted if necessary. While the Company intends to defend these matters vigorously, adverse outcomes that it estimates could reach approximately $</w:t>
      </w:r>
      <w:r w:rsidR="00947549" w:rsidRPr="000634A4">
        <w:rPr>
          <w:sz w:val="22"/>
          <w:szCs w:val="22"/>
        </w:rPr>
        <w:t>4</w:t>
      </w:r>
      <w:r w:rsidRPr="000634A4">
        <w:rPr>
          <w:sz w:val="22"/>
          <w:szCs w:val="22"/>
        </w:rPr>
        <w:t xml:space="preserve">50,000 in the aggregate beyond recorded amounts are reasonably possible. If circumstances </w:t>
      </w:r>
      <w:r w:rsidRPr="000634A4">
        <w:rPr>
          <w:sz w:val="22"/>
          <w:szCs w:val="22"/>
        </w:rPr>
        <w:lastRenderedPageBreak/>
        <w:t xml:space="preserve">change, the Company may be required to record adjustments that could be material to its reported consolidated financial condition and results of operations. </w:t>
      </w:r>
    </w:p>
    <w:p w14:paraId="7AB66355" w14:textId="4ABFB25B" w:rsidR="00A81DCD" w:rsidRPr="000634A4" w:rsidRDefault="00A81DCD" w:rsidP="00A81DCD">
      <w:pPr>
        <w:ind w:firstLine="720"/>
        <w:jc w:val="both"/>
        <w:rPr>
          <w:sz w:val="22"/>
          <w:szCs w:val="22"/>
        </w:rPr>
      </w:pPr>
      <w:r w:rsidRPr="000634A4">
        <w:rPr>
          <w:sz w:val="22"/>
          <w:szCs w:val="22"/>
        </w:rPr>
        <w:t xml:space="preserve">  </w:t>
      </w:r>
    </w:p>
    <w:p w14:paraId="210A8F3D" w14:textId="5C0AD1AA" w:rsidR="00A81DCD" w:rsidRPr="000634A4" w:rsidRDefault="00A81DCD" w:rsidP="00A81DCD">
      <w:pPr>
        <w:tabs>
          <w:tab w:val="left" w:pos="-720"/>
        </w:tabs>
        <w:suppressAutoHyphens/>
        <w:spacing w:line="240" w:lineRule="atLeast"/>
        <w:ind w:firstLine="720"/>
        <w:jc w:val="both"/>
        <w:rPr>
          <w:spacing w:val="-2"/>
          <w:sz w:val="22"/>
          <w:szCs w:val="22"/>
        </w:rPr>
      </w:pPr>
      <w:r w:rsidRPr="000634A4">
        <w:rPr>
          <w:b/>
          <w:bCs/>
          <w:spacing w:val="-2"/>
          <w:sz w:val="22"/>
          <w:szCs w:val="22"/>
        </w:rPr>
        <w:t xml:space="preserve">Foreign Currency </w:t>
      </w:r>
      <w:r w:rsidRPr="000634A4">
        <w:rPr>
          <w:spacing w:val="-2"/>
          <w:sz w:val="22"/>
          <w:szCs w:val="22"/>
        </w:rPr>
        <w:t xml:space="preserve">- To the extent that the currencies of the Company’s production facilities located in the Philippines, India, Sri Lanka and Israel fluctuate, the Company is subject to risks of changing costs of production after pricing is established for certain </w:t>
      </w:r>
      <w:r w:rsidR="00FE2D12" w:rsidRPr="000634A4">
        <w:rPr>
          <w:spacing w:val="-2"/>
          <w:sz w:val="22"/>
          <w:szCs w:val="22"/>
        </w:rPr>
        <w:t xml:space="preserve">customer </w:t>
      </w:r>
      <w:r w:rsidRPr="000634A4">
        <w:rPr>
          <w:spacing w:val="-2"/>
          <w:sz w:val="22"/>
          <w:szCs w:val="22"/>
        </w:rPr>
        <w:t xml:space="preserve">projects. In addition, the Company is exposed to the risk of foreign currency fluctuation on the non-U.S. dollar denominated revenues, and on the monetary assets and liabilities held by its foreign subsidiaries that are denominated in local currency. </w:t>
      </w:r>
    </w:p>
    <w:p w14:paraId="2D25E8D5" w14:textId="77777777" w:rsidR="00A81DCD" w:rsidRPr="000634A4" w:rsidRDefault="00A81DCD" w:rsidP="00A81DCD">
      <w:pPr>
        <w:tabs>
          <w:tab w:val="left" w:pos="-720"/>
        </w:tabs>
        <w:suppressAutoHyphens/>
        <w:spacing w:line="240" w:lineRule="atLeast"/>
        <w:jc w:val="both"/>
        <w:rPr>
          <w:spacing w:val="-2"/>
          <w:sz w:val="22"/>
          <w:szCs w:val="22"/>
        </w:rPr>
      </w:pPr>
    </w:p>
    <w:p w14:paraId="22620CC5" w14:textId="5A4C46CF" w:rsidR="00A81DCD" w:rsidRPr="000634A4" w:rsidRDefault="00A81DCD" w:rsidP="00A81DCD">
      <w:pPr>
        <w:tabs>
          <w:tab w:val="left" w:pos="-720"/>
        </w:tabs>
        <w:suppressAutoHyphens/>
        <w:spacing w:line="240" w:lineRule="atLeast"/>
        <w:ind w:firstLine="720"/>
        <w:jc w:val="both"/>
        <w:rPr>
          <w:spacing w:val="-2"/>
          <w:sz w:val="22"/>
          <w:szCs w:val="22"/>
        </w:rPr>
      </w:pPr>
      <w:r w:rsidRPr="000634A4">
        <w:rPr>
          <w:b/>
          <w:bCs/>
          <w:spacing w:val="-2"/>
          <w:sz w:val="22"/>
          <w:szCs w:val="22"/>
        </w:rPr>
        <w:t xml:space="preserve">Indemnifications </w:t>
      </w:r>
      <w:r w:rsidRPr="000634A4">
        <w:rPr>
          <w:spacing w:val="-2"/>
          <w:sz w:val="22"/>
          <w:szCs w:val="22"/>
        </w:rPr>
        <w:t xml:space="preserve">- The Company is obligated under certain circumstances to indemnify directors, officers and </w:t>
      </w:r>
      <w:r w:rsidR="00AA6656" w:rsidRPr="000634A4">
        <w:rPr>
          <w:spacing w:val="-2"/>
          <w:sz w:val="22"/>
          <w:szCs w:val="22"/>
        </w:rPr>
        <w:t xml:space="preserve">certain </w:t>
      </w:r>
      <w:r w:rsidRPr="000634A4">
        <w:rPr>
          <w:spacing w:val="-2"/>
          <w:sz w:val="22"/>
          <w:szCs w:val="22"/>
        </w:rPr>
        <w:t xml:space="preserve">employees against costs and liabilities incurred in actions or threatened actions brought against such individuals because such individuals acted in the capacity of director, officer or fiduciary of the Company. In addition, the Company has contracts with certain </w:t>
      </w:r>
      <w:r w:rsidR="00FE2D12" w:rsidRPr="000634A4">
        <w:rPr>
          <w:spacing w:val="-2"/>
          <w:sz w:val="22"/>
          <w:szCs w:val="22"/>
        </w:rPr>
        <w:t xml:space="preserve">customers </w:t>
      </w:r>
      <w:r w:rsidRPr="000634A4">
        <w:rPr>
          <w:spacing w:val="-2"/>
          <w:sz w:val="22"/>
          <w:szCs w:val="22"/>
        </w:rPr>
        <w:t xml:space="preserve">pursuant to which the Company has agreed to indemnify the </w:t>
      </w:r>
      <w:r w:rsidR="00FE2D12" w:rsidRPr="000634A4">
        <w:rPr>
          <w:spacing w:val="-2"/>
          <w:sz w:val="22"/>
          <w:szCs w:val="22"/>
        </w:rPr>
        <w:t xml:space="preserve">customer </w:t>
      </w:r>
      <w:r w:rsidRPr="000634A4">
        <w:rPr>
          <w:spacing w:val="-2"/>
          <w:sz w:val="22"/>
          <w:szCs w:val="22"/>
        </w:rPr>
        <w:t xml:space="preserve">for certain specified and limited claims. These indemnification obligations occur in the ordinary course of business and, in many cases, do not include a limit on potential maximum future payments. As of December 31, </w:t>
      </w:r>
      <w:r w:rsidR="00EC7FEB" w:rsidRPr="000634A4">
        <w:rPr>
          <w:spacing w:val="-2"/>
          <w:sz w:val="22"/>
          <w:szCs w:val="22"/>
        </w:rPr>
        <w:t>2022</w:t>
      </w:r>
      <w:r w:rsidRPr="000634A4">
        <w:rPr>
          <w:spacing w:val="-2"/>
          <w:sz w:val="22"/>
          <w:szCs w:val="22"/>
        </w:rPr>
        <w:t>, the Company has not recorded a liability for any obligations arising as a result of these indemnification</w:t>
      </w:r>
      <w:r w:rsidR="00780134" w:rsidRPr="000634A4">
        <w:rPr>
          <w:spacing w:val="-2"/>
          <w:sz w:val="22"/>
          <w:szCs w:val="22"/>
        </w:rPr>
        <w:t xml:space="preserve"> obligations</w:t>
      </w:r>
      <w:r w:rsidRPr="000634A4">
        <w:rPr>
          <w:spacing w:val="-2"/>
          <w:sz w:val="22"/>
          <w:szCs w:val="22"/>
        </w:rPr>
        <w:t>.</w:t>
      </w:r>
    </w:p>
    <w:p w14:paraId="43A19DB3" w14:textId="77777777" w:rsidR="002634A6" w:rsidRPr="000634A4" w:rsidRDefault="002634A6" w:rsidP="00A81DCD">
      <w:pPr>
        <w:tabs>
          <w:tab w:val="left" w:pos="-720"/>
        </w:tabs>
        <w:suppressAutoHyphens/>
        <w:spacing w:line="240" w:lineRule="atLeast"/>
        <w:jc w:val="both"/>
        <w:rPr>
          <w:spacing w:val="-2"/>
          <w:sz w:val="22"/>
          <w:szCs w:val="22"/>
        </w:rPr>
      </w:pPr>
    </w:p>
    <w:p w14:paraId="17B4CA80" w14:textId="77777777" w:rsidR="00A81DCD" w:rsidRPr="000634A4" w:rsidRDefault="00A81DCD" w:rsidP="005F7716">
      <w:pPr>
        <w:numPr>
          <w:ilvl w:val="0"/>
          <w:numId w:val="8"/>
        </w:numPr>
        <w:tabs>
          <w:tab w:val="left" w:pos="-720"/>
        </w:tabs>
        <w:suppressAutoHyphens/>
        <w:spacing w:line="240" w:lineRule="exact"/>
        <w:ind w:hanging="720"/>
        <w:jc w:val="both"/>
        <w:rPr>
          <w:b/>
          <w:sz w:val="22"/>
          <w:szCs w:val="22"/>
        </w:rPr>
      </w:pPr>
      <w:bookmarkStart w:id="61" w:name="OLE_LINK5"/>
      <w:bookmarkStart w:id="62" w:name="OLE_LINK6"/>
      <w:r w:rsidRPr="000634A4">
        <w:rPr>
          <w:b/>
          <w:bCs/>
          <w:sz w:val="22"/>
          <w:szCs w:val="22"/>
        </w:rPr>
        <w:t>Operating Leases</w:t>
      </w:r>
    </w:p>
    <w:p w14:paraId="0DC95C7B" w14:textId="77777777" w:rsidR="00A81DCD" w:rsidRPr="000634A4" w:rsidRDefault="00A81DCD" w:rsidP="00A81DCD">
      <w:pPr>
        <w:tabs>
          <w:tab w:val="left" w:pos="-720"/>
        </w:tabs>
        <w:suppressAutoHyphens/>
        <w:spacing w:line="240" w:lineRule="exact"/>
        <w:jc w:val="both"/>
        <w:rPr>
          <w:b/>
          <w:bCs/>
          <w:sz w:val="22"/>
          <w:szCs w:val="22"/>
        </w:rPr>
      </w:pPr>
    </w:p>
    <w:p w14:paraId="00ED9535" w14:textId="77777777" w:rsidR="00A81DCD" w:rsidRPr="000634A4" w:rsidRDefault="00A81DCD" w:rsidP="00A81DCD">
      <w:pPr>
        <w:ind w:firstLine="720"/>
        <w:jc w:val="both"/>
        <w:rPr>
          <w:sz w:val="22"/>
          <w:szCs w:val="22"/>
        </w:rPr>
      </w:pPr>
      <w:r w:rsidRPr="000634A4">
        <w:rPr>
          <w:sz w:val="22"/>
          <w:szCs w:val="22"/>
        </w:rPr>
        <w:t>The Company has various lease agreements for its offices and service delivery centers.  The Company has determined that the risks and benefits related to the leased properties are retained by the lessors. Accordingly, these are accounted for as operating leases.</w:t>
      </w:r>
    </w:p>
    <w:p w14:paraId="3581C069" w14:textId="77777777" w:rsidR="00A81DCD" w:rsidRPr="000634A4" w:rsidRDefault="00A81DCD" w:rsidP="00A81DCD">
      <w:pPr>
        <w:ind w:firstLine="720"/>
        <w:jc w:val="both"/>
        <w:rPr>
          <w:sz w:val="22"/>
          <w:szCs w:val="22"/>
        </w:rPr>
      </w:pPr>
    </w:p>
    <w:p w14:paraId="4DBF51CA" w14:textId="364DD087" w:rsidR="00A81DCD" w:rsidRPr="000634A4" w:rsidRDefault="00A81DCD" w:rsidP="00A81DCD">
      <w:pPr>
        <w:ind w:firstLine="720"/>
        <w:jc w:val="both"/>
        <w:rPr>
          <w:sz w:val="22"/>
          <w:szCs w:val="22"/>
        </w:rPr>
      </w:pPr>
      <w:r w:rsidRPr="000634A4">
        <w:rPr>
          <w:sz w:val="22"/>
          <w:szCs w:val="22"/>
        </w:rPr>
        <w:t xml:space="preserve">These lease agreements are for terms ranging from two to </w:t>
      </w:r>
      <w:r w:rsidR="00F816E5" w:rsidRPr="000634A4">
        <w:rPr>
          <w:sz w:val="22"/>
          <w:szCs w:val="22"/>
        </w:rPr>
        <w:t xml:space="preserve">eleven </w:t>
      </w:r>
      <w:r w:rsidRPr="000634A4">
        <w:rPr>
          <w:sz w:val="22"/>
          <w:szCs w:val="22"/>
        </w:rPr>
        <w:t xml:space="preserve">years and, in most cases, provide for rental escalations ranging from 1.75% to 10%. </w:t>
      </w:r>
      <w:r w:rsidR="003D1F5F" w:rsidRPr="000634A4">
        <w:rPr>
          <w:sz w:val="22"/>
          <w:szCs w:val="22"/>
        </w:rPr>
        <w:t>M</w:t>
      </w:r>
      <w:r w:rsidRPr="000634A4">
        <w:rPr>
          <w:sz w:val="22"/>
          <w:szCs w:val="22"/>
        </w:rPr>
        <w:t xml:space="preserve">ost of these agreements are renewable at the mutual consent of the parties </w:t>
      </w:r>
      <w:r w:rsidR="00345131" w:rsidRPr="000634A4">
        <w:rPr>
          <w:sz w:val="22"/>
          <w:szCs w:val="22"/>
        </w:rPr>
        <w:t xml:space="preserve">to </w:t>
      </w:r>
      <w:r w:rsidRPr="000634A4">
        <w:rPr>
          <w:sz w:val="22"/>
          <w:szCs w:val="22"/>
        </w:rPr>
        <w:t>the contract.</w:t>
      </w:r>
    </w:p>
    <w:p w14:paraId="3FB188ED" w14:textId="77777777" w:rsidR="00A81DCD" w:rsidRPr="000634A4" w:rsidRDefault="00A81DCD" w:rsidP="00A81DCD">
      <w:pPr>
        <w:jc w:val="both"/>
        <w:rPr>
          <w:iCs/>
          <w:sz w:val="22"/>
          <w:szCs w:val="22"/>
        </w:rPr>
      </w:pPr>
    </w:p>
    <w:p w14:paraId="418B43A2" w14:textId="4EA8E8C5" w:rsidR="00A832B5" w:rsidRPr="000634A4" w:rsidRDefault="004E1F31" w:rsidP="00A832B5">
      <w:pPr>
        <w:tabs>
          <w:tab w:val="left" w:pos="720"/>
        </w:tabs>
        <w:jc w:val="both"/>
        <w:rPr>
          <w:sz w:val="22"/>
          <w:szCs w:val="22"/>
        </w:rPr>
      </w:pPr>
      <w:r w:rsidRPr="000634A4">
        <w:rPr>
          <w:sz w:val="22"/>
          <w:szCs w:val="22"/>
        </w:rPr>
        <w:tab/>
        <w:t xml:space="preserve">The </w:t>
      </w:r>
      <w:r w:rsidR="00A832B5" w:rsidRPr="000634A4">
        <w:rPr>
          <w:sz w:val="22"/>
          <w:szCs w:val="22"/>
        </w:rPr>
        <w:t>Company recognizes an operating lease liability and right-of-use asset</w:t>
      </w:r>
      <w:r w:rsidRPr="000634A4">
        <w:rPr>
          <w:sz w:val="22"/>
          <w:szCs w:val="22"/>
        </w:rPr>
        <w:t xml:space="preserve"> in compliance with current lease accounting standard ASC</w:t>
      </w:r>
      <w:r w:rsidR="00A928FC" w:rsidRPr="000634A4">
        <w:rPr>
          <w:sz w:val="22"/>
          <w:szCs w:val="22"/>
        </w:rPr>
        <w:t xml:space="preserve"> </w:t>
      </w:r>
      <w:r w:rsidRPr="000634A4">
        <w:rPr>
          <w:sz w:val="22"/>
          <w:szCs w:val="22"/>
        </w:rPr>
        <w:t>842</w:t>
      </w:r>
      <w:r w:rsidR="00A832B5" w:rsidRPr="000634A4">
        <w:rPr>
          <w:sz w:val="22"/>
          <w:szCs w:val="22"/>
        </w:rPr>
        <w:t>. The amount of right-of use asset is equal to the present value of the remaining lease payments discounted using the incremental borrowing rate of each respective country. Modifications, if any are recalculated and corresponding adjustments are made to the carrying values of both the lease liability and right-of-use assets.</w:t>
      </w:r>
    </w:p>
    <w:p w14:paraId="721E56F5" w14:textId="77777777" w:rsidR="00A81DCD" w:rsidRPr="000634A4" w:rsidRDefault="00A81DCD" w:rsidP="00BD6C89">
      <w:pPr>
        <w:tabs>
          <w:tab w:val="left" w:pos="720"/>
        </w:tabs>
        <w:jc w:val="both"/>
        <w:rPr>
          <w:sz w:val="22"/>
          <w:szCs w:val="22"/>
        </w:rPr>
      </w:pPr>
    </w:p>
    <w:p w14:paraId="10FADFDB" w14:textId="77777777" w:rsidR="00A81DCD" w:rsidRPr="000634A4" w:rsidRDefault="00A81DCD" w:rsidP="00A81DCD">
      <w:pPr>
        <w:tabs>
          <w:tab w:val="left" w:pos="720"/>
        </w:tabs>
        <w:jc w:val="both"/>
        <w:rPr>
          <w:sz w:val="22"/>
          <w:szCs w:val="22"/>
        </w:rPr>
      </w:pPr>
      <w:r w:rsidRPr="000634A4">
        <w:rPr>
          <w:sz w:val="22"/>
          <w:szCs w:val="22"/>
        </w:rPr>
        <w:tab/>
        <w:t>A right-of-use asset is measured as the amount of the lease liability adjusted for the amount of deferred straight-line rent, prepaid rent and lease incentive allowances previously recognized.</w:t>
      </w:r>
    </w:p>
    <w:p w14:paraId="036A88F0" w14:textId="77777777" w:rsidR="00A81DCD" w:rsidRPr="000634A4" w:rsidRDefault="00A81DCD" w:rsidP="00A81DCD">
      <w:pPr>
        <w:tabs>
          <w:tab w:val="left" w:pos="720"/>
        </w:tabs>
        <w:jc w:val="both"/>
        <w:rPr>
          <w:sz w:val="22"/>
          <w:szCs w:val="22"/>
        </w:rPr>
      </w:pPr>
    </w:p>
    <w:p w14:paraId="29141164" w14:textId="77777777" w:rsidR="00A81DCD" w:rsidRPr="000634A4" w:rsidRDefault="00A81DCD" w:rsidP="00A81DCD">
      <w:pPr>
        <w:ind w:firstLine="720"/>
        <w:jc w:val="both"/>
        <w:rPr>
          <w:iCs/>
          <w:sz w:val="22"/>
          <w:szCs w:val="22"/>
        </w:rPr>
      </w:pPr>
      <w:r w:rsidRPr="000634A4">
        <w:rPr>
          <w:iCs/>
          <w:sz w:val="22"/>
          <w:szCs w:val="22"/>
        </w:rPr>
        <w:t>The table below summarizes the amounts recognized in the financial statements related to operating leases for the years presented (in thousands):</w:t>
      </w:r>
    </w:p>
    <w:p w14:paraId="01EBF7A2" w14:textId="77777777" w:rsidR="00A81DCD" w:rsidRPr="000634A4" w:rsidRDefault="00A81DCD" w:rsidP="00A81DCD">
      <w:pPr>
        <w:ind w:firstLine="720"/>
        <w:jc w:val="both"/>
        <w:rPr>
          <w:iCs/>
          <w:sz w:val="22"/>
          <w:szCs w:val="22"/>
        </w:rPr>
      </w:pPr>
    </w:p>
    <w:p w14:paraId="5487AE35" w14:textId="48859EB3" w:rsidR="00A81DCD" w:rsidRPr="000634A4" w:rsidRDefault="00A81DCD" w:rsidP="00A81DCD">
      <w:pPr>
        <w:jc w:val="center"/>
        <w:rPr>
          <w:iCs/>
          <w:sz w:val="22"/>
          <w:szCs w:val="22"/>
        </w:rPr>
      </w:pPr>
      <w:r w:rsidRPr="000634A4">
        <w:rPr>
          <w:sz w:val="22"/>
          <w:szCs w:val="22"/>
        </w:rPr>
        <w:t xml:space="preserve"> </w:t>
      </w:r>
      <w:r w:rsidR="009C513B" w:rsidRPr="000634A4">
        <w:rPr>
          <w:noProof/>
          <w:lang w:eastAsia="zh-CN"/>
        </w:rPr>
        <w:drawing>
          <wp:inline distT="0" distB="0" distL="0" distR="0" wp14:anchorId="1247F7BA" wp14:editId="4E721BB5">
            <wp:extent cx="5568950" cy="12763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68950" cy="1276350"/>
                    </a:xfrm>
                    <a:prstGeom prst="rect">
                      <a:avLst/>
                    </a:prstGeom>
                    <a:noFill/>
                    <a:ln>
                      <a:noFill/>
                    </a:ln>
                  </pic:spPr>
                </pic:pic>
              </a:graphicData>
            </a:graphic>
          </wp:inline>
        </w:drawing>
      </w:r>
    </w:p>
    <w:p w14:paraId="74331579" w14:textId="06BE26CF" w:rsidR="00A81DCD" w:rsidRPr="000634A4" w:rsidRDefault="00A81DCD" w:rsidP="00A81DCD">
      <w:pPr>
        <w:spacing w:before="240"/>
        <w:ind w:firstLine="720"/>
        <w:jc w:val="both"/>
        <w:rPr>
          <w:sz w:val="22"/>
          <w:szCs w:val="22"/>
        </w:rPr>
      </w:pPr>
      <w:r w:rsidRPr="000634A4">
        <w:rPr>
          <w:sz w:val="22"/>
          <w:szCs w:val="22"/>
        </w:rPr>
        <w:t xml:space="preserve">The following table presents the maturity profile of the Company’s operating lease liabilities based on the contractual undiscounted payments with a reconciliation of these amounts to the remaining net present value </w:t>
      </w:r>
      <w:r w:rsidRPr="000634A4">
        <w:rPr>
          <w:sz w:val="22"/>
          <w:szCs w:val="22"/>
        </w:rPr>
        <w:lastRenderedPageBreak/>
        <w:t xml:space="preserve">of the operating lease liability reported in the consolidated balance sheet as of December 31, </w:t>
      </w:r>
      <w:r w:rsidR="00030014" w:rsidRPr="000634A4">
        <w:rPr>
          <w:sz w:val="22"/>
          <w:szCs w:val="22"/>
        </w:rPr>
        <w:t xml:space="preserve">2022 </w:t>
      </w:r>
      <w:r w:rsidRPr="000634A4">
        <w:rPr>
          <w:sz w:val="22"/>
          <w:szCs w:val="22"/>
        </w:rPr>
        <w:t>(in thousands)</w:t>
      </w:r>
      <w:r w:rsidR="007E0A88" w:rsidRPr="000634A4">
        <w:rPr>
          <w:sz w:val="22"/>
          <w:szCs w:val="22"/>
        </w:rPr>
        <w:t>:</w:t>
      </w:r>
    </w:p>
    <w:p w14:paraId="66CBBB37" w14:textId="77777777" w:rsidR="00A81DCD" w:rsidRPr="000634A4" w:rsidRDefault="00A81DCD" w:rsidP="00A81DCD">
      <w:pPr>
        <w:ind w:firstLine="720"/>
        <w:jc w:val="both"/>
        <w:rPr>
          <w:iCs/>
          <w:sz w:val="22"/>
          <w:szCs w:val="22"/>
        </w:rPr>
      </w:pPr>
    </w:p>
    <w:p w14:paraId="30DA1B5A" w14:textId="492626CC" w:rsidR="00A81DCD" w:rsidRPr="000634A4" w:rsidRDefault="00532B94" w:rsidP="00A81DCD">
      <w:pPr>
        <w:ind w:firstLine="720"/>
        <w:jc w:val="center"/>
        <w:rPr>
          <w:sz w:val="22"/>
          <w:szCs w:val="22"/>
        </w:rPr>
      </w:pPr>
      <w:r w:rsidRPr="000634A4">
        <w:rPr>
          <w:sz w:val="22"/>
          <w:szCs w:val="22"/>
        </w:rPr>
        <w:t xml:space="preserve"> </w:t>
      </w:r>
      <w:r w:rsidR="00AA046A" w:rsidRPr="000634A4">
        <w:rPr>
          <w:sz w:val="22"/>
          <w:szCs w:val="22"/>
        </w:rPr>
        <w:t xml:space="preserve"> </w:t>
      </w:r>
      <w:r w:rsidR="001F18A5" w:rsidRPr="000634A4">
        <w:rPr>
          <w:sz w:val="22"/>
          <w:szCs w:val="22"/>
        </w:rPr>
        <w:t xml:space="preserve"> </w:t>
      </w:r>
      <w:r w:rsidR="001F18A5" w:rsidRPr="000634A4">
        <w:rPr>
          <w:noProof/>
          <w:lang w:eastAsia="zh-CN"/>
        </w:rPr>
        <w:drawing>
          <wp:inline distT="0" distB="0" distL="0" distR="0" wp14:anchorId="126652D3" wp14:editId="74D5353B">
            <wp:extent cx="4102100" cy="31686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02100" cy="3168650"/>
                    </a:xfrm>
                    <a:prstGeom prst="rect">
                      <a:avLst/>
                    </a:prstGeom>
                    <a:noFill/>
                    <a:ln>
                      <a:noFill/>
                    </a:ln>
                  </pic:spPr>
                </pic:pic>
              </a:graphicData>
            </a:graphic>
          </wp:inline>
        </w:drawing>
      </w:r>
    </w:p>
    <w:p w14:paraId="3A581487" w14:textId="7FAC8144" w:rsidR="00A81DCD" w:rsidRPr="000634A4" w:rsidRDefault="00A81DCD" w:rsidP="00A81DCD">
      <w:pPr>
        <w:spacing w:before="90" w:line="288" w:lineRule="atLeast"/>
        <w:ind w:firstLine="720"/>
        <w:jc w:val="both"/>
        <w:rPr>
          <w:sz w:val="22"/>
          <w:szCs w:val="22"/>
        </w:rPr>
      </w:pPr>
      <w:r w:rsidRPr="000634A4">
        <w:rPr>
          <w:sz w:val="22"/>
          <w:szCs w:val="22"/>
        </w:rPr>
        <w:t xml:space="preserve">The weighted average remaining lease terms and discount rates for all of our operating leases as of December 31, </w:t>
      </w:r>
      <w:r w:rsidR="00030014" w:rsidRPr="000634A4">
        <w:rPr>
          <w:sz w:val="22"/>
          <w:szCs w:val="22"/>
        </w:rPr>
        <w:t xml:space="preserve">2022 </w:t>
      </w:r>
      <w:r w:rsidRPr="000634A4">
        <w:rPr>
          <w:sz w:val="22"/>
          <w:szCs w:val="22"/>
        </w:rPr>
        <w:t>were as follows:</w:t>
      </w:r>
    </w:p>
    <w:p w14:paraId="1E874543" w14:textId="57AB3DEB" w:rsidR="00A81DCD" w:rsidRPr="000634A4" w:rsidRDefault="00532B94" w:rsidP="00A81DCD">
      <w:pPr>
        <w:spacing w:before="90" w:line="288" w:lineRule="atLeast"/>
        <w:ind w:firstLine="720"/>
        <w:jc w:val="center"/>
        <w:rPr>
          <w:sz w:val="22"/>
          <w:szCs w:val="22"/>
        </w:rPr>
      </w:pPr>
      <w:r w:rsidRPr="000634A4">
        <w:rPr>
          <w:sz w:val="22"/>
          <w:szCs w:val="22"/>
        </w:rPr>
        <w:t xml:space="preserve"> </w:t>
      </w:r>
      <w:r w:rsidR="001F18A5" w:rsidRPr="000634A4">
        <w:rPr>
          <w:sz w:val="22"/>
          <w:szCs w:val="22"/>
        </w:rPr>
        <w:t xml:space="preserve"> </w:t>
      </w:r>
      <w:r w:rsidR="001F18A5" w:rsidRPr="000634A4">
        <w:rPr>
          <w:noProof/>
          <w:lang w:eastAsia="zh-CN"/>
        </w:rPr>
        <w:drawing>
          <wp:inline distT="0" distB="0" distL="0" distR="0" wp14:anchorId="44788040" wp14:editId="5264E817">
            <wp:extent cx="4102100" cy="4000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02100" cy="400050"/>
                    </a:xfrm>
                    <a:prstGeom prst="rect">
                      <a:avLst/>
                    </a:prstGeom>
                    <a:noFill/>
                    <a:ln>
                      <a:noFill/>
                    </a:ln>
                  </pic:spPr>
                </pic:pic>
              </a:graphicData>
            </a:graphic>
          </wp:inline>
        </w:drawing>
      </w:r>
    </w:p>
    <w:p w14:paraId="4678E13F" w14:textId="77777777" w:rsidR="00A81DCD" w:rsidRPr="000634A4" w:rsidRDefault="00A81DCD" w:rsidP="00A81DCD">
      <w:pPr>
        <w:tabs>
          <w:tab w:val="left" w:pos="-720"/>
        </w:tabs>
        <w:suppressAutoHyphens/>
        <w:spacing w:line="240" w:lineRule="exact"/>
        <w:jc w:val="both"/>
        <w:rPr>
          <w:b/>
          <w:sz w:val="22"/>
          <w:szCs w:val="22"/>
        </w:rPr>
      </w:pPr>
    </w:p>
    <w:p w14:paraId="266619C9" w14:textId="77777777" w:rsidR="00A81DCD" w:rsidRPr="000634A4" w:rsidRDefault="00A81DCD" w:rsidP="005F7716">
      <w:pPr>
        <w:numPr>
          <w:ilvl w:val="0"/>
          <w:numId w:val="8"/>
        </w:numPr>
        <w:tabs>
          <w:tab w:val="left" w:pos="-720"/>
        </w:tabs>
        <w:suppressAutoHyphens/>
        <w:spacing w:line="240" w:lineRule="exact"/>
        <w:ind w:hanging="720"/>
        <w:jc w:val="both"/>
        <w:rPr>
          <w:b/>
          <w:sz w:val="22"/>
          <w:szCs w:val="22"/>
        </w:rPr>
      </w:pPr>
      <w:r w:rsidRPr="000634A4">
        <w:rPr>
          <w:b/>
          <w:bCs/>
          <w:sz w:val="22"/>
          <w:szCs w:val="22"/>
        </w:rPr>
        <w:t xml:space="preserve">Pension </w:t>
      </w:r>
      <w:r w:rsidR="00F816E5" w:rsidRPr="000634A4">
        <w:rPr>
          <w:b/>
          <w:bCs/>
          <w:sz w:val="22"/>
          <w:szCs w:val="22"/>
        </w:rPr>
        <w:t>Benefits</w:t>
      </w:r>
    </w:p>
    <w:p w14:paraId="35F7FD13" w14:textId="77777777" w:rsidR="00A81DCD" w:rsidRPr="000634A4" w:rsidRDefault="00A81DCD" w:rsidP="00A81DCD">
      <w:pPr>
        <w:tabs>
          <w:tab w:val="left" w:pos="-720"/>
        </w:tabs>
        <w:suppressAutoHyphens/>
        <w:spacing w:line="240" w:lineRule="exact"/>
        <w:ind w:left="450"/>
        <w:jc w:val="both"/>
        <w:rPr>
          <w:sz w:val="22"/>
          <w:szCs w:val="22"/>
        </w:rPr>
      </w:pPr>
    </w:p>
    <w:p w14:paraId="05B49F91" w14:textId="010E0E0B" w:rsidR="00345131" w:rsidRPr="000634A4" w:rsidRDefault="00A81DCD" w:rsidP="005E5EAD">
      <w:pPr>
        <w:tabs>
          <w:tab w:val="left" w:pos="-720"/>
          <w:tab w:val="left" w:pos="720"/>
          <w:tab w:val="left" w:pos="9630"/>
        </w:tabs>
        <w:suppressAutoHyphens/>
        <w:spacing w:line="240" w:lineRule="atLeast"/>
        <w:ind w:firstLine="720"/>
        <w:jc w:val="both"/>
        <w:rPr>
          <w:sz w:val="22"/>
          <w:szCs w:val="22"/>
        </w:rPr>
      </w:pPr>
      <w:r w:rsidRPr="000634A4">
        <w:rPr>
          <w:b/>
          <w:spacing w:val="-2"/>
          <w:sz w:val="22"/>
          <w:szCs w:val="22"/>
        </w:rPr>
        <w:t xml:space="preserve">U.S. Defined Contribution Pension Plan - </w:t>
      </w:r>
      <w:r w:rsidRPr="000634A4">
        <w:rPr>
          <w:sz w:val="22"/>
          <w:szCs w:val="22"/>
        </w:rPr>
        <w:t xml:space="preserve">The Company has a defined contribution plan qualified under Section 401(k) of the Internal Revenue Code, pursuant to which substantially all of its U.S. employees are eligible to participate after completing six months of service. Participants may elect to contribute a portion of their compensation to the plan. Under the plan, the Company has the discretion to match a portion of participants’ contributions. </w:t>
      </w:r>
      <w:r w:rsidR="00345131" w:rsidRPr="000634A4">
        <w:rPr>
          <w:sz w:val="22"/>
          <w:szCs w:val="22"/>
        </w:rPr>
        <w:t xml:space="preserve">For the years ended December 31, </w:t>
      </w:r>
      <w:r w:rsidR="00425E14" w:rsidRPr="000634A4">
        <w:rPr>
          <w:sz w:val="22"/>
          <w:szCs w:val="22"/>
        </w:rPr>
        <w:t xml:space="preserve">2022 </w:t>
      </w:r>
      <w:r w:rsidR="00345131" w:rsidRPr="000634A4">
        <w:rPr>
          <w:sz w:val="22"/>
          <w:szCs w:val="22"/>
        </w:rPr>
        <w:t xml:space="preserve">and </w:t>
      </w:r>
      <w:r w:rsidR="00425E14" w:rsidRPr="000634A4">
        <w:rPr>
          <w:sz w:val="22"/>
          <w:szCs w:val="22"/>
        </w:rPr>
        <w:t>2021</w:t>
      </w:r>
      <w:r w:rsidR="00C27024" w:rsidRPr="000634A4">
        <w:rPr>
          <w:sz w:val="22"/>
          <w:szCs w:val="22"/>
        </w:rPr>
        <w:t>,</w:t>
      </w:r>
      <w:r w:rsidR="00345131" w:rsidRPr="000634A4">
        <w:rPr>
          <w:sz w:val="22"/>
          <w:szCs w:val="22"/>
        </w:rPr>
        <w:t xml:space="preserve"> the Company did not make any matching contributions.</w:t>
      </w:r>
    </w:p>
    <w:p w14:paraId="7A2EB0A6" w14:textId="44AB43EC" w:rsidR="00A81DCD" w:rsidRPr="000634A4" w:rsidRDefault="00A81DCD" w:rsidP="00610F79">
      <w:pPr>
        <w:rPr>
          <w:sz w:val="22"/>
          <w:szCs w:val="22"/>
        </w:rPr>
      </w:pPr>
      <w:r w:rsidRPr="000634A4">
        <w:rPr>
          <w:b/>
          <w:sz w:val="22"/>
          <w:szCs w:val="22"/>
        </w:rPr>
        <w:tab/>
      </w:r>
    </w:p>
    <w:p w14:paraId="6C3BCEA2" w14:textId="769BF9A3" w:rsidR="00A81DCD" w:rsidRPr="000634A4" w:rsidRDefault="00A81DCD" w:rsidP="00CA4265">
      <w:pPr>
        <w:tabs>
          <w:tab w:val="left" w:pos="-720"/>
          <w:tab w:val="left" w:pos="720"/>
        </w:tabs>
        <w:suppressAutoHyphens/>
        <w:spacing w:line="240" w:lineRule="atLeast"/>
        <w:jc w:val="both"/>
        <w:rPr>
          <w:sz w:val="22"/>
          <w:szCs w:val="22"/>
        </w:rPr>
      </w:pPr>
      <w:r w:rsidRPr="000634A4">
        <w:rPr>
          <w:sz w:val="22"/>
          <w:szCs w:val="22"/>
        </w:rPr>
        <w:tab/>
        <w:t xml:space="preserve">Most of the non-U.S. subsidiaries provide for government-mandated defined pension benefits. For certain of these subsidiaries, vested eligible employees are provided a lump sum payment upon retiring from the Company at a defined age. The lump sum amount is based on the salary and tenure as of retirement date. Other non-U.S. subsidiaries provide for a lump sum payment to vested employees on retirement, death, incapacitation or termination of employment, based upon the salary and tenure as of the date employment ceases. The liability for such defined benefit obligations is determined and provided on the basis of actuarial valuations. As of December 31, </w:t>
      </w:r>
      <w:r w:rsidR="00425E14" w:rsidRPr="000634A4">
        <w:rPr>
          <w:sz w:val="22"/>
          <w:szCs w:val="22"/>
        </w:rPr>
        <w:t>2022</w:t>
      </w:r>
      <w:r w:rsidRPr="000634A4">
        <w:rPr>
          <w:sz w:val="22"/>
          <w:szCs w:val="22"/>
        </w:rPr>
        <w:t xml:space="preserve">, these plans </w:t>
      </w:r>
      <w:r w:rsidR="00780134" w:rsidRPr="000634A4">
        <w:rPr>
          <w:sz w:val="22"/>
          <w:szCs w:val="22"/>
        </w:rPr>
        <w:t xml:space="preserve">were </w:t>
      </w:r>
      <w:r w:rsidRPr="000634A4">
        <w:rPr>
          <w:sz w:val="22"/>
          <w:szCs w:val="22"/>
        </w:rPr>
        <w:t>unfunded. Pension expense for foreign subsidiaries totaled approximately $</w:t>
      </w:r>
      <w:r w:rsidR="00916EEC" w:rsidRPr="000634A4">
        <w:rPr>
          <w:sz w:val="22"/>
          <w:szCs w:val="22"/>
        </w:rPr>
        <w:t>1.1</w:t>
      </w:r>
      <w:r w:rsidR="00BE7BB4" w:rsidRPr="000634A4">
        <w:rPr>
          <w:sz w:val="22"/>
          <w:szCs w:val="22"/>
        </w:rPr>
        <w:t xml:space="preserve"> </w:t>
      </w:r>
      <w:r w:rsidRPr="000634A4">
        <w:rPr>
          <w:sz w:val="22"/>
          <w:szCs w:val="22"/>
        </w:rPr>
        <w:t>million and $0.</w:t>
      </w:r>
      <w:r w:rsidR="00425E14" w:rsidRPr="000634A4">
        <w:rPr>
          <w:sz w:val="22"/>
          <w:szCs w:val="22"/>
        </w:rPr>
        <w:t xml:space="preserve">9 </w:t>
      </w:r>
      <w:r w:rsidR="007E0A88" w:rsidRPr="000634A4">
        <w:rPr>
          <w:sz w:val="22"/>
          <w:szCs w:val="22"/>
        </w:rPr>
        <w:t>million</w:t>
      </w:r>
      <w:r w:rsidRPr="000634A4">
        <w:rPr>
          <w:sz w:val="22"/>
          <w:szCs w:val="22"/>
        </w:rPr>
        <w:t xml:space="preserve"> for the years ended December 31,</w:t>
      </w:r>
      <w:r w:rsidR="001478CF" w:rsidRPr="000634A4">
        <w:rPr>
          <w:sz w:val="22"/>
          <w:szCs w:val="22"/>
        </w:rPr>
        <w:t xml:space="preserve"> </w:t>
      </w:r>
      <w:r w:rsidR="00425E14" w:rsidRPr="000634A4">
        <w:rPr>
          <w:sz w:val="22"/>
          <w:szCs w:val="22"/>
        </w:rPr>
        <w:t xml:space="preserve">2022 </w:t>
      </w:r>
      <w:r w:rsidRPr="000634A4">
        <w:rPr>
          <w:sz w:val="22"/>
          <w:szCs w:val="22"/>
        </w:rPr>
        <w:t xml:space="preserve">and </w:t>
      </w:r>
      <w:r w:rsidR="00425E14" w:rsidRPr="000634A4">
        <w:rPr>
          <w:sz w:val="22"/>
          <w:szCs w:val="22"/>
        </w:rPr>
        <w:t>2021</w:t>
      </w:r>
      <w:r w:rsidRPr="000634A4">
        <w:rPr>
          <w:sz w:val="22"/>
          <w:szCs w:val="22"/>
        </w:rPr>
        <w:t xml:space="preserve">, respectively. </w:t>
      </w:r>
    </w:p>
    <w:p w14:paraId="2817D387" w14:textId="77777777" w:rsidR="0085477F" w:rsidRPr="000634A4" w:rsidRDefault="0085477F" w:rsidP="00A81DCD">
      <w:pPr>
        <w:tabs>
          <w:tab w:val="left" w:pos="-720"/>
          <w:tab w:val="left" w:pos="720"/>
        </w:tabs>
        <w:suppressAutoHyphens/>
        <w:spacing w:line="240" w:lineRule="atLeast"/>
        <w:jc w:val="both"/>
        <w:rPr>
          <w:sz w:val="22"/>
          <w:szCs w:val="22"/>
        </w:rPr>
      </w:pPr>
    </w:p>
    <w:p w14:paraId="51036E70" w14:textId="6B1746EE" w:rsidR="008A4560" w:rsidRPr="000634A4" w:rsidRDefault="0062447B" w:rsidP="008A4560">
      <w:pPr>
        <w:tabs>
          <w:tab w:val="left" w:pos="-720"/>
          <w:tab w:val="left" w:pos="720"/>
        </w:tabs>
        <w:suppressAutoHyphens/>
        <w:spacing w:line="240" w:lineRule="atLeast"/>
        <w:jc w:val="both"/>
        <w:rPr>
          <w:sz w:val="22"/>
          <w:szCs w:val="22"/>
        </w:rPr>
      </w:pPr>
      <w:r w:rsidRPr="000634A4">
        <w:rPr>
          <w:sz w:val="22"/>
          <w:szCs w:val="22"/>
        </w:rPr>
        <w:tab/>
      </w:r>
      <w:r w:rsidR="008A4560" w:rsidRPr="000634A4">
        <w:rPr>
          <w:sz w:val="22"/>
          <w:szCs w:val="22"/>
        </w:rPr>
        <w:t>The following tables set out the status of the non-U.S. pension benefits and the amounts recognized in the Company’s consolidated financial statements and the components of pension costs as of and for each of the two years in the period ended December 31</w:t>
      </w:r>
      <w:r w:rsidR="003C23C0" w:rsidRPr="000634A4">
        <w:rPr>
          <w:sz w:val="22"/>
          <w:szCs w:val="22"/>
        </w:rPr>
        <w:t xml:space="preserve"> (in thousands)</w:t>
      </w:r>
      <w:r w:rsidR="008A4560" w:rsidRPr="000634A4">
        <w:rPr>
          <w:sz w:val="22"/>
          <w:szCs w:val="22"/>
        </w:rPr>
        <w:t xml:space="preserve">: </w:t>
      </w:r>
    </w:p>
    <w:p w14:paraId="36C8EBA3" w14:textId="77777777" w:rsidR="00787962" w:rsidRPr="000634A4" w:rsidRDefault="00787962" w:rsidP="00A81DCD">
      <w:pPr>
        <w:ind w:left="720"/>
        <w:jc w:val="both"/>
        <w:rPr>
          <w:sz w:val="22"/>
          <w:szCs w:val="22"/>
        </w:rPr>
      </w:pPr>
    </w:p>
    <w:p w14:paraId="3495CE2C" w14:textId="77777777" w:rsidR="00461A74" w:rsidRPr="000634A4" w:rsidRDefault="00461A74" w:rsidP="00A81DCD">
      <w:pPr>
        <w:ind w:left="720"/>
        <w:jc w:val="both"/>
        <w:rPr>
          <w:sz w:val="22"/>
          <w:szCs w:val="22"/>
        </w:rPr>
      </w:pPr>
    </w:p>
    <w:p w14:paraId="55049E43" w14:textId="77777777" w:rsidR="00A81DCD" w:rsidRPr="000634A4" w:rsidRDefault="00A81DCD" w:rsidP="00A81DCD">
      <w:pPr>
        <w:tabs>
          <w:tab w:val="left" w:pos="-720"/>
        </w:tabs>
        <w:suppressAutoHyphens/>
        <w:spacing w:line="240" w:lineRule="atLeast"/>
        <w:jc w:val="both"/>
        <w:rPr>
          <w:b/>
          <w:sz w:val="22"/>
          <w:szCs w:val="22"/>
        </w:rPr>
      </w:pPr>
      <w:r w:rsidRPr="000634A4">
        <w:rPr>
          <w:b/>
          <w:sz w:val="22"/>
          <w:szCs w:val="22"/>
        </w:rPr>
        <w:t>Benefit Obligations:</w:t>
      </w:r>
    </w:p>
    <w:p w14:paraId="2D384636" w14:textId="58C4E902" w:rsidR="00A81DCD" w:rsidRPr="000634A4" w:rsidRDefault="00570798" w:rsidP="00A81DCD">
      <w:pPr>
        <w:jc w:val="center"/>
        <w:rPr>
          <w:b/>
          <w:sz w:val="22"/>
          <w:szCs w:val="22"/>
        </w:rPr>
      </w:pPr>
      <w:r w:rsidRPr="000634A4">
        <w:rPr>
          <w:b/>
          <w:sz w:val="22"/>
          <w:szCs w:val="22"/>
        </w:rPr>
        <w:t xml:space="preserve"> </w:t>
      </w:r>
      <w:r w:rsidR="00D80A9F" w:rsidRPr="000634A4">
        <w:rPr>
          <w:b/>
          <w:sz w:val="22"/>
          <w:szCs w:val="22"/>
        </w:rPr>
        <w:t xml:space="preserve"> </w:t>
      </w:r>
      <w:r w:rsidR="00B45BC5" w:rsidRPr="000634A4">
        <w:rPr>
          <w:noProof/>
          <w:lang w:eastAsia="zh-CN"/>
        </w:rPr>
        <w:drawing>
          <wp:inline distT="0" distB="0" distL="0" distR="0" wp14:anchorId="37A4DC7D" wp14:editId="69F67E46">
            <wp:extent cx="5086350" cy="20193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86350" cy="2019300"/>
                    </a:xfrm>
                    <a:prstGeom prst="rect">
                      <a:avLst/>
                    </a:prstGeom>
                    <a:noFill/>
                    <a:ln>
                      <a:noFill/>
                    </a:ln>
                  </pic:spPr>
                </pic:pic>
              </a:graphicData>
            </a:graphic>
          </wp:inline>
        </w:drawing>
      </w:r>
    </w:p>
    <w:p w14:paraId="42837E6B" w14:textId="2FCF4B4E" w:rsidR="00630B6B" w:rsidRPr="000634A4" w:rsidRDefault="00630B6B" w:rsidP="000A3427">
      <w:pPr>
        <w:ind w:firstLine="720"/>
        <w:jc w:val="both"/>
        <w:rPr>
          <w:b/>
          <w:sz w:val="22"/>
          <w:szCs w:val="22"/>
        </w:rPr>
      </w:pPr>
      <w:r w:rsidRPr="000634A4">
        <w:rPr>
          <w:sz w:val="22"/>
          <w:szCs w:val="22"/>
        </w:rPr>
        <w:t xml:space="preserve">The Company incurred </w:t>
      </w:r>
      <w:r w:rsidR="00771184" w:rsidRPr="000634A4">
        <w:rPr>
          <w:sz w:val="22"/>
          <w:szCs w:val="22"/>
        </w:rPr>
        <w:t>an actuarial gain of $0.7 million for the year ended December 31, 2022, and an actuarial loss of $0.6 million for the year ended December 31, 2021. Th</w:t>
      </w:r>
      <w:r w:rsidR="00F803C8" w:rsidRPr="000634A4">
        <w:rPr>
          <w:sz w:val="22"/>
          <w:szCs w:val="22"/>
        </w:rPr>
        <w:t xml:space="preserve">is was mainly due to changes in the discount rates used. </w:t>
      </w:r>
      <w:r w:rsidR="009629B1" w:rsidRPr="000634A4">
        <w:rPr>
          <w:sz w:val="22"/>
          <w:szCs w:val="22"/>
        </w:rPr>
        <w:t>Actuarial (gains) losses are recorded as part of other comprehensive income</w:t>
      </w:r>
      <w:r w:rsidR="00515761" w:rsidRPr="000634A4">
        <w:rPr>
          <w:sz w:val="22"/>
          <w:szCs w:val="22"/>
        </w:rPr>
        <w:t xml:space="preserve"> and </w:t>
      </w:r>
      <w:r w:rsidR="001B2B04" w:rsidRPr="000634A4">
        <w:rPr>
          <w:sz w:val="22"/>
          <w:szCs w:val="22"/>
        </w:rPr>
        <w:t>is not reflected as part of net periodic pension cost</w:t>
      </w:r>
      <w:r w:rsidR="00515761" w:rsidRPr="000634A4">
        <w:rPr>
          <w:sz w:val="22"/>
          <w:szCs w:val="22"/>
        </w:rPr>
        <w:t>.</w:t>
      </w:r>
    </w:p>
    <w:p w14:paraId="41319EA5" w14:textId="77777777" w:rsidR="004A1E15" w:rsidRPr="000634A4" w:rsidRDefault="004A1E15" w:rsidP="00A81DCD">
      <w:pPr>
        <w:jc w:val="center"/>
        <w:rPr>
          <w:b/>
          <w:sz w:val="22"/>
          <w:szCs w:val="22"/>
        </w:rPr>
      </w:pPr>
    </w:p>
    <w:p w14:paraId="62EA3F3C" w14:textId="34C4AF3C" w:rsidR="00A81DCD" w:rsidRPr="000634A4" w:rsidRDefault="00A81DCD" w:rsidP="00A81DCD">
      <w:pPr>
        <w:jc w:val="both"/>
        <w:rPr>
          <w:b/>
          <w:sz w:val="22"/>
          <w:szCs w:val="22"/>
        </w:rPr>
      </w:pPr>
      <w:r w:rsidRPr="000634A4">
        <w:rPr>
          <w:b/>
          <w:sz w:val="22"/>
          <w:szCs w:val="22"/>
        </w:rPr>
        <w:t>Components of Net Periodic Pension Cost:</w:t>
      </w:r>
    </w:p>
    <w:p w14:paraId="4F5803C0" w14:textId="152BE93D" w:rsidR="00A81DCD" w:rsidRPr="000634A4" w:rsidRDefault="00570798" w:rsidP="00A81DCD">
      <w:pPr>
        <w:tabs>
          <w:tab w:val="left" w:pos="-720"/>
        </w:tabs>
        <w:suppressAutoHyphens/>
        <w:spacing w:line="240" w:lineRule="atLeast"/>
        <w:ind w:left="90"/>
        <w:jc w:val="center"/>
        <w:rPr>
          <w:b/>
          <w:sz w:val="22"/>
          <w:szCs w:val="22"/>
        </w:rPr>
      </w:pPr>
      <w:r w:rsidRPr="000634A4">
        <w:rPr>
          <w:b/>
          <w:sz w:val="22"/>
          <w:szCs w:val="22"/>
        </w:rPr>
        <w:t xml:space="preserve"> </w:t>
      </w:r>
      <w:r w:rsidR="00D80A9F" w:rsidRPr="000634A4">
        <w:rPr>
          <w:b/>
          <w:sz w:val="22"/>
          <w:szCs w:val="22"/>
        </w:rPr>
        <w:t xml:space="preserve"> </w:t>
      </w:r>
      <w:r w:rsidR="008A4560" w:rsidRPr="000634A4">
        <w:rPr>
          <w:b/>
          <w:sz w:val="22"/>
          <w:szCs w:val="22"/>
        </w:rPr>
        <w:t xml:space="preserve"> </w:t>
      </w:r>
      <w:r w:rsidR="00EE45EF" w:rsidRPr="000634A4">
        <w:rPr>
          <w:noProof/>
          <w:lang w:eastAsia="zh-CN"/>
        </w:rPr>
        <w:drawing>
          <wp:inline distT="0" distB="0" distL="0" distR="0" wp14:anchorId="659126F8" wp14:editId="1485B4AC">
            <wp:extent cx="5086350" cy="14414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86350" cy="1441450"/>
                    </a:xfrm>
                    <a:prstGeom prst="rect">
                      <a:avLst/>
                    </a:prstGeom>
                    <a:noFill/>
                    <a:ln>
                      <a:noFill/>
                    </a:ln>
                  </pic:spPr>
                </pic:pic>
              </a:graphicData>
            </a:graphic>
          </wp:inline>
        </w:drawing>
      </w:r>
    </w:p>
    <w:p w14:paraId="7E94C9B1" w14:textId="40F6ACBA" w:rsidR="00A81DCD" w:rsidRPr="000634A4" w:rsidRDefault="00403C1B" w:rsidP="00A81DCD">
      <w:pPr>
        <w:tabs>
          <w:tab w:val="left" w:pos="-720"/>
        </w:tabs>
        <w:suppressAutoHyphens/>
        <w:spacing w:line="240" w:lineRule="atLeast"/>
        <w:jc w:val="both"/>
        <w:rPr>
          <w:sz w:val="22"/>
          <w:szCs w:val="22"/>
        </w:rPr>
      </w:pPr>
      <w:r w:rsidRPr="000634A4">
        <w:rPr>
          <w:sz w:val="22"/>
          <w:szCs w:val="22"/>
        </w:rPr>
        <w:tab/>
      </w:r>
      <w:r w:rsidR="00A81DCD" w:rsidRPr="000634A4">
        <w:rPr>
          <w:sz w:val="22"/>
          <w:szCs w:val="22"/>
        </w:rPr>
        <w:t>The accumulated benefit obligation, which represents benefits earned to date, was approximately $</w:t>
      </w:r>
      <w:r w:rsidR="00694099" w:rsidRPr="000634A4">
        <w:rPr>
          <w:sz w:val="22"/>
          <w:szCs w:val="22"/>
        </w:rPr>
        <w:t xml:space="preserve">3.2 </w:t>
      </w:r>
      <w:r w:rsidR="00425E14" w:rsidRPr="000634A4">
        <w:rPr>
          <w:sz w:val="22"/>
          <w:szCs w:val="22"/>
        </w:rPr>
        <w:t>and $</w:t>
      </w:r>
      <w:r w:rsidR="008653ED" w:rsidRPr="000634A4">
        <w:rPr>
          <w:sz w:val="22"/>
          <w:szCs w:val="22"/>
        </w:rPr>
        <w:t>3.7</w:t>
      </w:r>
      <w:r w:rsidR="00A81DCD" w:rsidRPr="000634A4">
        <w:rPr>
          <w:sz w:val="22"/>
          <w:szCs w:val="22"/>
        </w:rPr>
        <w:t xml:space="preserve"> million </w:t>
      </w:r>
      <w:r w:rsidR="00242A01" w:rsidRPr="000634A4">
        <w:rPr>
          <w:sz w:val="22"/>
          <w:szCs w:val="22"/>
        </w:rPr>
        <w:t>for each of the years ended</w:t>
      </w:r>
      <w:r w:rsidR="00A81DCD" w:rsidRPr="000634A4">
        <w:rPr>
          <w:sz w:val="22"/>
          <w:szCs w:val="22"/>
        </w:rPr>
        <w:t xml:space="preserve"> December 31, </w:t>
      </w:r>
      <w:r w:rsidR="00425E14" w:rsidRPr="000634A4">
        <w:rPr>
          <w:sz w:val="22"/>
          <w:szCs w:val="22"/>
        </w:rPr>
        <w:t xml:space="preserve">2022 </w:t>
      </w:r>
      <w:r w:rsidR="00A81DCD" w:rsidRPr="000634A4">
        <w:rPr>
          <w:sz w:val="22"/>
          <w:szCs w:val="22"/>
        </w:rPr>
        <w:t xml:space="preserve">and </w:t>
      </w:r>
      <w:r w:rsidR="00425E14" w:rsidRPr="000634A4">
        <w:rPr>
          <w:sz w:val="22"/>
          <w:szCs w:val="22"/>
        </w:rPr>
        <w:t>2021</w:t>
      </w:r>
      <w:r w:rsidR="00A81DCD" w:rsidRPr="000634A4">
        <w:rPr>
          <w:sz w:val="22"/>
          <w:szCs w:val="22"/>
        </w:rPr>
        <w:t>.</w:t>
      </w:r>
    </w:p>
    <w:p w14:paraId="2D0A8F8D" w14:textId="77777777" w:rsidR="00204F27" w:rsidRPr="000634A4" w:rsidRDefault="00204F27" w:rsidP="00A81DCD">
      <w:pPr>
        <w:tabs>
          <w:tab w:val="left" w:pos="-720"/>
        </w:tabs>
        <w:suppressAutoHyphens/>
        <w:spacing w:line="240" w:lineRule="atLeast"/>
        <w:jc w:val="both"/>
        <w:rPr>
          <w:sz w:val="22"/>
          <w:szCs w:val="22"/>
        </w:rPr>
      </w:pPr>
    </w:p>
    <w:p w14:paraId="59368820" w14:textId="42BC3603" w:rsidR="00A81DCD" w:rsidRPr="000634A4" w:rsidRDefault="001A5422" w:rsidP="005E5EAD">
      <w:pPr>
        <w:tabs>
          <w:tab w:val="left" w:pos="-720"/>
          <w:tab w:val="left" w:pos="720"/>
        </w:tabs>
        <w:suppressAutoHyphens/>
        <w:spacing w:line="240" w:lineRule="atLeast"/>
        <w:jc w:val="both"/>
        <w:rPr>
          <w:sz w:val="22"/>
          <w:szCs w:val="22"/>
        </w:rPr>
      </w:pPr>
      <w:r w:rsidRPr="000634A4">
        <w:rPr>
          <w:sz w:val="22"/>
          <w:szCs w:val="22"/>
        </w:rPr>
        <w:tab/>
      </w:r>
      <w:r w:rsidR="00262E6F" w:rsidRPr="000634A4">
        <w:rPr>
          <w:sz w:val="22"/>
          <w:szCs w:val="22"/>
        </w:rPr>
        <w:t xml:space="preserve"> </w:t>
      </w:r>
      <w:r w:rsidR="00A81DCD" w:rsidRPr="000634A4">
        <w:rPr>
          <w:sz w:val="22"/>
          <w:szCs w:val="22"/>
        </w:rPr>
        <w:t>Amounts recognized in the consolidated balance sheets for the years ended December 31</w:t>
      </w:r>
      <w:r w:rsidR="00780134" w:rsidRPr="000634A4">
        <w:rPr>
          <w:sz w:val="22"/>
          <w:szCs w:val="22"/>
        </w:rPr>
        <w:t xml:space="preserve">, </w:t>
      </w:r>
      <w:r w:rsidR="004255B7" w:rsidRPr="000634A4">
        <w:rPr>
          <w:sz w:val="22"/>
          <w:szCs w:val="22"/>
        </w:rPr>
        <w:t xml:space="preserve">2022 </w:t>
      </w:r>
      <w:r w:rsidR="00780134" w:rsidRPr="000634A4">
        <w:rPr>
          <w:sz w:val="22"/>
          <w:szCs w:val="22"/>
        </w:rPr>
        <w:t xml:space="preserve">and </w:t>
      </w:r>
      <w:r w:rsidR="004255B7" w:rsidRPr="000634A4">
        <w:rPr>
          <w:sz w:val="22"/>
          <w:szCs w:val="22"/>
        </w:rPr>
        <w:t xml:space="preserve">2021 </w:t>
      </w:r>
      <w:r w:rsidR="00A81DCD" w:rsidRPr="000634A4">
        <w:rPr>
          <w:sz w:val="22"/>
          <w:szCs w:val="22"/>
        </w:rPr>
        <w:t>consist</w:t>
      </w:r>
      <w:r w:rsidR="00780134" w:rsidRPr="000634A4">
        <w:rPr>
          <w:sz w:val="22"/>
          <w:szCs w:val="22"/>
        </w:rPr>
        <w:t>ed</w:t>
      </w:r>
      <w:r w:rsidR="00A81DCD" w:rsidRPr="000634A4">
        <w:rPr>
          <w:sz w:val="22"/>
          <w:szCs w:val="22"/>
        </w:rPr>
        <w:t xml:space="preserve"> of the following</w:t>
      </w:r>
      <w:r w:rsidR="00780134" w:rsidRPr="000634A4">
        <w:rPr>
          <w:sz w:val="22"/>
          <w:szCs w:val="22"/>
        </w:rPr>
        <w:t xml:space="preserve"> (in thousands)</w:t>
      </w:r>
      <w:r w:rsidR="00A81DCD" w:rsidRPr="000634A4">
        <w:rPr>
          <w:sz w:val="22"/>
          <w:szCs w:val="22"/>
        </w:rPr>
        <w:t>:</w:t>
      </w:r>
    </w:p>
    <w:p w14:paraId="1C1111F6" w14:textId="77777777" w:rsidR="00A81DCD" w:rsidRPr="000634A4" w:rsidRDefault="00A81DCD" w:rsidP="00A81DCD">
      <w:pPr>
        <w:tabs>
          <w:tab w:val="left" w:pos="-720"/>
        </w:tabs>
        <w:suppressAutoHyphens/>
        <w:spacing w:line="240" w:lineRule="atLeast"/>
        <w:jc w:val="both"/>
        <w:rPr>
          <w:sz w:val="22"/>
          <w:szCs w:val="22"/>
        </w:rPr>
      </w:pPr>
    </w:p>
    <w:p w14:paraId="55EAD824" w14:textId="159C3B6D" w:rsidR="00A81DCD" w:rsidRPr="000634A4" w:rsidRDefault="00570798" w:rsidP="00A81DCD">
      <w:pPr>
        <w:tabs>
          <w:tab w:val="left" w:pos="-720"/>
        </w:tabs>
        <w:suppressAutoHyphens/>
        <w:spacing w:line="240" w:lineRule="atLeast"/>
        <w:jc w:val="center"/>
        <w:rPr>
          <w:sz w:val="22"/>
          <w:szCs w:val="22"/>
        </w:rPr>
      </w:pPr>
      <w:r w:rsidRPr="000634A4">
        <w:rPr>
          <w:sz w:val="22"/>
          <w:szCs w:val="22"/>
        </w:rPr>
        <w:t xml:space="preserve"> </w:t>
      </w:r>
      <w:r w:rsidR="000A0521" w:rsidRPr="000634A4">
        <w:rPr>
          <w:sz w:val="22"/>
          <w:szCs w:val="22"/>
        </w:rPr>
        <w:t xml:space="preserve"> </w:t>
      </w:r>
      <w:r w:rsidR="008A5291" w:rsidRPr="000634A4">
        <w:rPr>
          <w:noProof/>
          <w:lang w:eastAsia="zh-CN"/>
        </w:rPr>
        <w:drawing>
          <wp:inline distT="0" distB="0" distL="0" distR="0" wp14:anchorId="058218E4" wp14:editId="46BBCB4B">
            <wp:extent cx="5086350" cy="1085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86350" cy="1085850"/>
                    </a:xfrm>
                    <a:prstGeom prst="rect">
                      <a:avLst/>
                    </a:prstGeom>
                    <a:noFill/>
                    <a:ln>
                      <a:noFill/>
                    </a:ln>
                  </pic:spPr>
                </pic:pic>
              </a:graphicData>
            </a:graphic>
          </wp:inline>
        </w:drawing>
      </w:r>
    </w:p>
    <w:p w14:paraId="2D72CBC0" w14:textId="77777777" w:rsidR="00A81DCD" w:rsidRPr="000634A4" w:rsidRDefault="00A81DCD" w:rsidP="005E5EAD">
      <w:pPr>
        <w:tabs>
          <w:tab w:val="left" w:pos="-720"/>
          <w:tab w:val="left" w:pos="720"/>
        </w:tabs>
        <w:suppressAutoHyphens/>
        <w:spacing w:line="240" w:lineRule="atLeast"/>
        <w:jc w:val="both"/>
        <w:rPr>
          <w:sz w:val="22"/>
          <w:szCs w:val="22"/>
        </w:rPr>
      </w:pPr>
      <w:r w:rsidRPr="000634A4">
        <w:rPr>
          <w:sz w:val="22"/>
          <w:szCs w:val="22"/>
        </w:rPr>
        <w:tab/>
        <w:t xml:space="preserve">Current accrued benefit cost for pension benefits </w:t>
      </w:r>
      <w:r w:rsidR="00194650" w:rsidRPr="000634A4">
        <w:rPr>
          <w:sz w:val="22"/>
          <w:szCs w:val="22"/>
        </w:rPr>
        <w:t xml:space="preserve">was </w:t>
      </w:r>
      <w:r w:rsidRPr="000634A4">
        <w:rPr>
          <w:sz w:val="22"/>
          <w:szCs w:val="22"/>
        </w:rPr>
        <w:t xml:space="preserve">included in the current portion of long-term obligations in the consolidated balance sheets. Non-current accrued benefit cost for pension benefits </w:t>
      </w:r>
      <w:r w:rsidR="004E7293" w:rsidRPr="000634A4">
        <w:rPr>
          <w:sz w:val="22"/>
          <w:szCs w:val="22"/>
        </w:rPr>
        <w:t xml:space="preserve">was </w:t>
      </w:r>
      <w:r w:rsidRPr="000634A4">
        <w:rPr>
          <w:sz w:val="22"/>
          <w:szCs w:val="22"/>
        </w:rPr>
        <w:t>included in long-term obligations, net of current portion, in the consolidated balance sheets.</w:t>
      </w:r>
    </w:p>
    <w:p w14:paraId="27FF4318" w14:textId="77777777" w:rsidR="00A81DCD" w:rsidRPr="000634A4" w:rsidRDefault="00A81DCD" w:rsidP="005E5EAD">
      <w:pPr>
        <w:tabs>
          <w:tab w:val="left" w:pos="-720"/>
          <w:tab w:val="left" w:pos="720"/>
        </w:tabs>
        <w:suppressAutoHyphens/>
        <w:spacing w:line="240" w:lineRule="atLeast"/>
        <w:jc w:val="both"/>
        <w:rPr>
          <w:sz w:val="22"/>
          <w:szCs w:val="22"/>
        </w:rPr>
      </w:pPr>
    </w:p>
    <w:p w14:paraId="06BDA7FE" w14:textId="7F0442F2" w:rsidR="00A81DCD" w:rsidRPr="000634A4" w:rsidRDefault="00A81DCD" w:rsidP="005E5EAD">
      <w:pPr>
        <w:tabs>
          <w:tab w:val="left" w:pos="-720"/>
          <w:tab w:val="left" w:pos="720"/>
        </w:tabs>
        <w:suppressAutoHyphens/>
        <w:spacing w:line="240" w:lineRule="atLeast"/>
        <w:jc w:val="both"/>
        <w:rPr>
          <w:sz w:val="22"/>
          <w:szCs w:val="22"/>
        </w:rPr>
      </w:pPr>
      <w:r w:rsidRPr="000634A4">
        <w:rPr>
          <w:sz w:val="22"/>
          <w:szCs w:val="22"/>
        </w:rPr>
        <w:tab/>
        <w:t>Actuarial assumptions for all non-U.S. plans are described below.</w:t>
      </w:r>
      <w:r w:rsidR="00D54F3E" w:rsidRPr="000634A4">
        <w:rPr>
          <w:sz w:val="22"/>
          <w:szCs w:val="22"/>
        </w:rPr>
        <w:t xml:space="preserve"> </w:t>
      </w:r>
      <w:r w:rsidRPr="000634A4">
        <w:rPr>
          <w:sz w:val="22"/>
          <w:szCs w:val="22"/>
        </w:rPr>
        <w:t xml:space="preserve">The discount rates are used to measure the year end benefit obligations and the earnings effects for the subsequent year. The assumptions for each of the two years in the period ended December 31 </w:t>
      </w:r>
      <w:r w:rsidR="00780134" w:rsidRPr="000634A4">
        <w:rPr>
          <w:sz w:val="22"/>
          <w:szCs w:val="22"/>
        </w:rPr>
        <w:t xml:space="preserve">were </w:t>
      </w:r>
      <w:r w:rsidRPr="000634A4">
        <w:rPr>
          <w:sz w:val="22"/>
          <w:szCs w:val="22"/>
        </w:rPr>
        <w:t>as follows:</w:t>
      </w:r>
    </w:p>
    <w:p w14:paraId="34E27E8F" w14:textId="77777777" w:rsidR="00A81DCD" w:rsidRPr="000634A4" w:rsidRDefault="00A81DCD" w:rsidP="00CA4265">
      <w:pPr>
        <w:tabs>
          <w:tab w:val="left" w:pos="-720"/>
        </w:tabs>
        <w:suppressAutoHyphens/>
        <w:spacing w:line="240" w:lineRule="atLeast"/>
        <w:rPr>
          <w:sz w:val="22"/>
          <w:szCs w:val="22"/>
        </w:rPr>
      </w:pPr>
    </w:p>
    <w:p w14:paraId="701E1222" w14:textId="25A08DBB" w:rsidR="00A81DCD" w:rsidRPr="000634A4" w:rsidRDefault="007569E4" w:rsidP="00A81DCD">
      <w:pPr>
        <w:tabs>
          <w:tab w:val="left" w:pos="-720"/>
        </w:tabs>
        <w:suppressAutoHyphens/>
        <w:spacing w:line="240" w:lineRule="atLeast"/>
        <w:jc w:val="center"/>
        <w:rPr>
          <w:sz w:val="22"/>
          <w:szCs w:val="22"/>
        </w:rPr>
      </w:pPr>
      <w:r w:rsidRPr="000634A4">
        <w:rPr>
          <w:sz w:val="22"/>
          <w:szCs w:val="22"/>
        </w:rPr>
        <w:lastRenderedPageBreak/>
        <w:t xml:space="preserve"> </w:t>
      </w:r>
      <w:r w:rsidR="00570798" w:rsidRPr="000634A4">
        <w:rPr>
          <w:sz w:val="22"/>
          <w:szCs w:val="22"/>
        </w:rPr>
        <w:t xml:space="preserve"> </w:t>
      </w:r>
      <w:r w:rsidR="00D80A9F" w:rsidRPr="000634A4">
        <w:rPr>
          <w:sz w:val="22"/>
          <w:szCs w:val="22"/>
        </w:rPr>
        <w:t xml:space="preserve"> </w:t>
      </w:r>
      <w:r w:rsidR="009130BD" w:rsidRPr="000634A4">
        <w:rPr>
          <w:sz w:val="22"/>
          <w:szCs w:val="22"/>
        </w:rPr>
        <w:t xml:space="preserve"> </w:t>
      </w:r>
      <w:r w:rsidR="00B45BC5" w:rsidRPr="000634A4">
        <w:rPr>
          <w:sz w:val="22"/>
          <w:szCs w:val="22"/>
        </w:rPr>
        <w:t xml:space="preserve"> </w:t>
      </w:r>
      <w:r w:rsidR="00B45BC5" w:rsidRPr="000634A4">
        <w:rPr>
          <w:noProof/>
          <w:lang w:eastAsia="zh-CN"/>
        </w:rPr>
        <w:drawing>
          <wp:inline distT="0" distB="0" distL="0" distR="0" wp14:anchorId="73E6EFAA" wp14:editId="054F0595">
            <wp:extent cx="5086350" cy="717550"/>
            <wp:effectExtent l="0" t="0" r="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86350" cy="717550"/>
                    </a:xfrm>
                    <a:prstGeom prst="rect">
                      <a:avLst/>
                    </a:prstGeom>
                    <a:noFill/>
                    <a:ln>
                      <a:noFill/>
                    </a:ln>
                  </pic:spPr>
                </pic:pic>
              </a:graphicData>
            </a:graphic>
          </wp:inline>
        </w:drawing>
      </w:r>
    </w:p>
    <w:p w14:paraId="18F93E22" w14:textId="77777777" w:rsidR="00AD2A30" w:rsidRPr="000634A4" w:rsidRDefault="00AD2A30" w:rsidP="00A81DCD">
      <w:pPr>
        <w:tabs>
          <w:tab w:val="left" w:pos="-720"/>
        </w:tabs>
        <w:suppressAutoHyphens/>
        <w:spacing w:line="240" w:lineRule="atLeast"/>
        <w:jc w:val="center"/>
        <w:rPr>
          <w:sz w:val="22"/>
          <w:szCs w:val="22"/>
        </w:rPr>
      </w:pPr>
    </w:p>
    <w:p w14:paraId="5A09C790" w14:textId="77777777" w:rsidR="00E53122" w:rsidRPr="000634A4" w:rsidRDefault="00E53122" w:rsidP="00A81DCD">
      <w:pPr>
        <w:tabs>
          <w:tab w:val="left" w:pos="-720"/>
        </w:tabs>
        <w:suppressAutoHyphens/>
        <w:spacing w:line="240" w:lineRule="atLeast"/>
        <w:jc w:val="center"/>
        <w:rPr>
          <w:sz w:val="22"/>
          <w:szCs w:val="22"/>
        </w:rPr>
      </w:pPr>
    </w:p>
    <w:p w14:paraId="4CAA888E" w14:textId="77777777" w:rsidR="00A81DCD" w:rsidRPr="000634A4" w:rsidRDefault="00A81DCD" w:rsidP="00A81DCD">
      <w:pPr>
        <w:tabs>
          <w:tab w:val="left" w:pos="-720"/>
        </w:tabs>
        <w:suppressAutoHyphens/>
        <w:spacing w:line="240" w:lineRule="exact"/>
        <w:jc w:val="both"/>
        <w:rPr>
          <w:b/>
          <w:sz w:val="22"/>
          <w:szCs w:val="22"/>
        </w:rPr>
      </w:pPr>
      <w:r w:rsidRPr="000634A4">
        <w:rPr>
          <w:b/>
          <w:sz w:val="22"/>
          <w:szCs w:val="22"/>
        </w:rPr>
        <w:t>Estimated Future Benefit Payments:</w:t>
      </w:r>
    </w:p>
    <w:p w14:paraId="45458022" w14:textId="77777777" w:rsidR="00A81DCD" w:rsidRPr="000634A4" w:rsidRDefault="00A81DCD" w:rsidP="00A81DCD">
      <w:pPr>
        <w:tabs>
          <w:tab w:val="left" w:pos="-720"/>
        </w:tabs>
        <w:suppressAutoHyphens/>
        <w:spacing w:line="240" w:lineRule="exact"/>
        <w:jc w:val="both"/>
        <w:rPr>
          <w:sz w:val="22"/>
          <w:szCs w:val="22"/>
        </w:rPr>
      </w:pPr>
    </w:p>
    <w:p w14:paraId="7D27F39B" w14:textId="04EDF693" w:rsidR="000052CE" w:rsidRPr="000634A4" w:rsidRDefault="00A81DCD" w:rsidP="005E5EAD">
      <w:pPr>
        <w:tabs>
          <w:tab w:val="left" w:pos="-720"/>
          <w:tab w:val="left" w:pos="720"/>
        </w:tabs>
        <w:suppressAutoHyphens/>
        <w:spacing w:line="240" w:lineRule="atLeast"/>
        <w:jc w:val="both"/>
        <w:rPr>
          <w:sz w:val="22"/>
          <w:szCs w:val="22"/>
        </w:rPr>
      </w:pPr>
      <w:r w:rsidRPr="000634A4">
        <w:rPr>
          <w:sz w:val="22"/>
          <w:szCs w:val="22"/>
        </w:rPr>
        <w:tab/>
      </w:r>
      <w:r w:rsidR="00780134" w:rsidRPr="000634A4">
        <w:rPr>
          <w:sz w:val="22"/>
          <w:szCs w:val="22"/>
        </w:rPr>
        <w:t xml:space="preserve">As of December 31, </w:t>
      </w:r>
      <w:r w:rsidR="004255B7" w:rsidRPr="000634A4">
        <w:rPr>
          <w:sz w:val="22"/>
          <w:szCs w:val="22"/>
        </w:rPr>
        <w:t>2022</w:t>
      </w:r>
      <w:r w:rsidR="00780134" w:rsidRPr="000634A4">
        <w:rPr>
          <w:sz w:val="22"/>
          <w:szCs w:val="22"/>
        </w:rPr>
        <w:t>, t</w:t>
      </w:r>
      <w:r w:rsidRPr="000634A4">
        <w:rPr>
          <w:sz w:val="22"/>
          <w:szCs w:val="22"/>
        </w:rPr>
        <w:t xml:space="preserve">he following benefit payments, which reflect expected future service, as appropriate, </w:t>
      </w:r>
      <w:r w:rsidR="00780134" w:rsidRPr="000634A4">
        <w:rPr>
          <w:sz w:val="22"/>
          <w:szCs w:val="22"/>
        </w:rPr>
        <w:t xml:space="preserve">were </w:t>
      </w:r>
      <w:r w:rsidRPr="000634A4">
        <w:rPr>
          <w:sz w:val="22"/>
          <w:szCs w:val="22"/>
        </w:rPr>
        <w:t>expected to be paid (in thousands):</w:t>
      </w:r>
      <w:r w:rsidR="00C627C0" w:rsidRPr="000634A4">
        <w:rPr>
          <w:sz w:val="22"/>
          <w:szCs w:val="22"/>
        </w:rPr>
        <w:t xml:space="preserve"> </w:t>
      </w:r>
    </w:p>
    <w:p w14:paraId="05B36453" w14:textId="77777777" w:rsidR="000052CE" w:rsidRPr="000634A4" w:rsidRDefault="000052CE" w:rsidP="005E5EAD">
      <w:pPr>
        <w:tabs>
          <w:tab w:val="left" w:pos="-720"/>
          <w:tab w:val="left" w:pos="720"/>
        </w:tabs>
        <w:suppressAutoHyphens/>
        <w:spacing w:line="240" w:lineRule="atLeast"/>
        <w:jc w:val="both"/>
        <w:rPr>
          <w:sz w:val="22"/>
          <w:szCs w:val="22"/>
        </w:rPr>
      </w:pPr>
    </w:p>
    <w:p w14:paraId="1AFA3C78" w14:textId="7D2365E6" w:rsidR="00C627C0" w:rsidRPr="000634A4" w:rsidRDefault="00C627C0" w:rsidP="009B345D">
      <w:pPr>
        <w:tabs>
          <w:tab w:val="left" w:pos="-720"/>
          <w:tab w:val="left" w:pos="720"/>
        </w:tabs>
        <w:suppressAutoHyphens/>
        <w:spacing w:line="240" w:lineRule="atLeast"/>
        <w:jc w:val="center"/>
        <w:rPr>
          <w:sz w:val="22"/>
          <w:szCs w:val="22"/>
        </w:rPr>
      </w:pPr>
      <w:r w:rsidRPr="000634A4">
        <w:t xml:space="preserve"> </w:t>
      </w:r>
      <w:r w:rsidR="00234836" w:rsidRPr="00234836">
        <w:rPr>
          <w:noProof/>
        </w:rPr>
        <w:drawing>
          <wp:inline distT="0" distB="0" distL="0" distR="0" wp14:anchorId="6DF70755" wp14:editId="0DC85D09">
            <wp:extent cx="2933700" cy="184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33700" cy="1841500"/>
                    </a:xfrm>
                    <a:prstGeom prst="rect">
                      <a:avLst/>
                    </a:prstGeom>
                    <a:noFill/>
                    <a:ln>
                      <a:noFill/>
                    </a:ln>
                  </pic:spPr>
                </pic:pic>
              </a:graphicData>
            </a:graphic>
          </wp:inline>
        </w:drawing>
      </w:r>
    </w:p>
    <w:p w14:paraId="6DC6700C" w14:textId="20512B4B" w:rsidR="00A81DCD" w:rsidRPr="000634A4" w:rsidRDefault="00A81DCD" w:rsidP="005F7716">
      <w:pPr>
        <w:pStyle w:val="ListParagraph"/>
        <w:numPr>
          <w:ilvl w:val="0"/>
          <w:numId w:val="8"/>
        </w:numPr>
        <w:tabs>
          <w:tab w:val="left" w:pos="-720"/>
          <w:tab w:val="left" w:pos="720"/>
        </w:tabs>
        <w:suppressAutoHyphens/>
        <w:spacing w:line="240" w:lineRule="exact"/>
        <w:ind w:hanging="630"/>
        <w:jc w:val="both"/>
        <w:rPr>
          <w:rFonts w:ascii="Times New Roman" w:hAnsi="Times New Roman"/>
          <w:b/>
        </w:rPr>
      </w:pPr>
      <w:r w:rsidRPr="000634A4">
        <w:rPr>
          <w:rFonts w:ascii="Times New Roman" w:hAnsi="Times New Roman"/>
          <w:b/>
        </w:rPr>
        <w:t>Capital Stock</w:t>
      </w:r>
    </w:p>
    <w:bookmarkEnd w:id="61"/>
    <w:bookmarkEnd w:id="62"/>
    <w:p w14:paraId="70C5785D" w14:textId="77777777" w:rsidR="00A81DCD" w:rsidRPr="000634A4" w:rsidRDefault="00A81DCD" w:rsidP="00CA4265">
      <w:pPr>
        <w:tabs>
          <w:tab w:val="left" w:pos="-720"/>
        </w:tabs>
        <w:suppressAutoHyphens/>
        <w:spacing w:line="240" w:lineRule="atLeast"/>
        <w:ind w:left="270" w:right="90"/>
        <w:jc w:val="both"/>
        <w:rPr>
          <w:b/>
          <w:bCs/>
          <w:spacing w:val="-2"/>
          <w:sz w:val="22"/>
          <w:szCs w:val="22"/>
        </w:rPr>
      </w:pPr>
    </w:p>
    <w:p w14:paraId="62A7794D" w14:textId="77777777" w:rsidR="00A81DCD" w:rsidRPr="000634A4" w:rsidRDefault="00A81DCD" w:rsidP="00CA4265">
      <w:pPr>
        <w:tabs>
          <w:tab w:val="left" w:pos="-720"/>
          <w:tab w:val="left" w:pos="720"/>
        </w:tabs>
        <w:suppressAutoHyphens/>
        <w:spacing w:line="240" w:lineRule="atLeast"/>
        <w:ind w:left="90"/>
        <w:jc w:val="both"/>
        <w:rPr>
          <w:sz w:val="22"/>
          <w:szCs w:val="22"/>
        </w:rPr>
      </w:pPr>
      <w:bookmarkStart w:id="63" w:name="_Hlk95225008"/>
      <w:r w:rsidRPr="000634A4">
        <w:rPr>
          <w:b/>
          <w:bCs/>
          <w:spacing w:val="-2"/>
          <w:sz w:val="22"/>
          <w:szCs w:val="22"/>
        </w:rPr>
        <w:tab/>
        <w:t xml:space="preserve">Common Stock - </w:t>
      </w:r>
      <w:r w:rsidRPr="000634A4">
        <w:rPr>
          <w:bCs/>
          <w:spacing w:val="-2"/>
          <w:sz w:val="22"/>
          <w:szCs w:val="22"/>
        </w:rPr>
        <w:t>T</w:t>
      </w:r>
      <w:r w:rsidRPr="000634A4">
        <w:rPr>
          <w:sz w:val="22"/>
          <w:szCs w:val="22"/>
        </w:rPr>
        <w:t xml:space="preserve">he Company is authorized to issue 75,000,000 shares of common stock. Each share of common stock has one vote. Subject to preferences that may be applicable to any outstanding shares of preferred stock, the holders of common stock are entitled to receive ratably such dividends, if any, as may be declared by the Board of Directors. No common stock dividends have been declared to date. </w:t>
      </w:r>
    </w:p>
    <w:p w14:paraId="4DE56001" w14:textId="77777777" w:rsidR="00A81DCD" w:rsidRPr="000634A4" w:rsidRDefault="00A81DCD" w:rsidP="00CA4265">
      <w:pPr>
        <w:tabs>
          <w:tab w:val="left" w:pos="-720"/>
        </w:tabs>
        <w:suppressAutoHyphens/>
        <w:spacing w:line="240" w:lineRule="atLeast"/>
        <w:ind w:left="90"/>
        <w:jc w:val="both"/>
        <w:rPr>
          <w:sz w:val="22"/>
          <w:szCs w:val="22"/>
        </w:rPr>
      </w:pPr>
    </w:p>
    <w:p w14:paraId="73A0E8D1" w14:textId="77777777" w:rsidR="00A81DCD" w:rsidRPr="000634A4" w:rsidRDefault="00A81DCD" w:rsidP="00CA4265">
      <w:pPr>
        <w:tabs>
          <w:tab w:val="left" w:pos="-720"/>
          <w:tab w:val="left" w:pos="720"/>
        </w:tabs>
        <w:suppressAutoHyphens/>
        <w:spacing w:line="240" w:lineRule="atLeast"/>
        <w:ind w:left="90"/>
        <w:jc w:val="both"/>
        <w:rPr>
          <w:spacing w:val="-2"/>
          <w:sz w:val="22"/>
          <w:szCs w:val="22"/>
        </w:rPr>
      </w:pPr>
      <w:r w:rsidRPr="000634A4">
        <w:rPr>
          <w:b/>
          <w:bCs/>
          <w:spacing w:val="-2"/>
          <w:sz w:val="22"/>
          <w:szCs w:val="22"/>
        </w:rPr>
        <w:tab/>
        <w:t xml:space="preserve">Preferred Stock - </w:t>
      </w:r>
      <w:r w:rsidRPr="000634A4">
        <w:rPr>
          <w:bCs/>
          <w:spacing w:val="-2"/>
          <w:sz w:val="22"/>
          <w:szCs w:val="22"/>
        </w:rPr>
        <w:t xml:space="preserve">The Company is authorized to issue </w:t>
      </w:r>
      <w:r w:rsidR="005E38B3" w:rsidRPr="000634A4">
        <w:rPr>
          <w:bCs/>
          <w:spacing w:val="-2"/>
          <w:sz w:val="22"/>
          <w:szCs w:val="22"/>
        </w:rPr>
        <w:t>4</w:t>
      </w:r>
      <w:r w:rsidRPr="000634A4">
        <w:rPr>
          <w:bCs/>
          <w:spacing w:val="-2"/>
          <w:sz w:val="22"/>
          <w:szCs w:val="22"/>
        </w:rPr>
        <w:t>,</w:t>
      </w:r>
      <w:r w:rsidR="005E38B3" w:rsidRPr="000634A4">
        <w:rPr>
          <w:bCs/>
          <w:spacing w:val="-2"/>
          <w:sz w:val="22"/>
          <w:szCs w:val="22"/>
        </w:rPr>
        <w:t>998</w:t>
      </w:r>
      <w:r w:rsidRPr="000634A4">
        <w:rPr>
          <w:sz w:val="22"/>
          <w:szCs w:val="22"/>
        </w:rPr>
        <w:t xml:space="preserve">,000 shares of preferred stock. </w:t>
      </w:r>
      <w:r w:rsidRPr="000634A4">
        <w:rPr>
          <w:spacing w:val="-2"/>
          <w:sz w:val="22"/>
          <w:szCs w:val="22"/>
        </w:rPr>
        <w:t xml:space="preserve">The Board of Directors is authorized to fix the terms, rights, preferences and limitations of the preferred stock and to issue the preferred stock in series </w:t>
      </w:r>
      <w:r w:rsidR="00780134" w:rsidRPr="000634A4">
        <w:rPr>
          <w:spacing w:val="-2"/>
          <w:sz w:val="22"/>
          <w:szCs w:val="22"/>
        </w:rPr>
        <w:t xml:space="preserve">that </w:t>
      </w:r>
      <w:r w:rsidRPr="000634A4">
        <w:rPr>
          <w:spacing w:val="-2"/>
          <w:sz w:val="22"/>
          <w:szCs w:val="22"/>
        </w:rPr>
        <w:t xml:space="preserve">differ as to their relative terms, rights, preferences and limitations. </w:t>
      </w:r>
    </w:p>
    <w:p w14:paraId="29892EEB" w14:textId="727B9B0B" w:rsidR="00CA4265" w:rsidRPr="000634A4" w:rsidRDefault="00A81DCD" w:rsidP="005E5EAD">
      <w:pPr>
        <w:tabs>
          <w:tab w:val="left" w:pos="720"/>
        </w:tabs>
        <w:spacing w:line="240" w:lineRule="atLeast"/>
        <w:jc w:val="both"/>
        <w:rPr>
          <w:sz w:val="22"/>
          <w:szCs w:val="22"/>
        </w:rPr>
      </w:pPr>
      <w:r w:rsidRPr="000634A4">
        <w:rPr>
          <w:b/>
          <w:bCs/>
          <w:spacing w:val="-2"/>
          <w:sz w:val="22"/>
          <w:szCs w:val="22"/>
        </w:rPr>
        <w:tab/>
      </w:r>
    </w:p>
    <w:bookmarkEnd w:id="63"/>
    <w:p w14:paraId="6BF6A6A8" w14:textId="182B4AE9" w:rsidR="00A81DCD" w:rsidRPr="000634A4" w:rsidRDefault="00A81DCD" w:rsidP="00CA4265">
      <w:pPr>
        <w:pStyle w:val="Style4"/>
        <w:keepNext/>
        <w:keepLines/>
        <w:spacing w:before="0" w:after="0" w:line="240" w:lineRule="atLeast"/>
        <w:jc w:val="both"/>
        <w:rPr>
          <w:color w:val="auto"/>
          <w:spacing w:val="-2"/>
        </w:rPr>
      </w:pPr>
      <w:r w:rsidRPr="000634A4">
        <w:rPr>
          <w:b/>
          <w:bCs/>
          <w:color w:val="auto"/>
          <w:spacing w:val="-2"/>
        </w:rPr>
        <w:tab/>
        <w:t xml:space="preserve">Common Stock Reserved - </w:t>
      </w:r>
      <w:r w:rsidRPr="000634A4">
        <w:rPr>
          <w:color w:val="auto"/>
          <w:spacing w:val="-2"/>
        </w:rPr>
        <w:t xml:space="preserve">As of December 31, </w:t>
      </w:r>
      <w:r w:rsidR="004255B7" w:rsidRPr="000634A4">
        <w:rPr>
          <w:color w:val="auto"/>
          <w:spacing w:val="-2"/>
        </w:rPr>
        <w:t>2022</w:t>
      </w:r>
      <w:r w:rsidRPr="000634A4">
        <w:rPr>
          <w:color w:val="auto"/>
          <w:spacing w:val="-2"/>
        </w:rPr>
        <w:t xml:space="preserve">, the Company had </w:t>
      </w:r>
      <w:r w:rsidR="007135C7" w:rsidRPr="000634A4">
        <w:rPr>
          <w:color w:val="auto"/>
          <w:spacing w:val="-2"/>
        </w:rPr>
        <w:t xml:space="preserve">available </w:t>
      </w:r>
      <w:r w:rsidRPr="000634A4">
        <w:rPr>
          <w:color w:val="auto"/>
          <w:spacing w:val="-2"/>
        </w:rPr>
        <w:t>for</w:t>
      </w:r>
      <w:r w:rsidR="007135C7" w:rsidRPr="000634A4">
        <w:rPr>
          <w:color w:val="auto"/>
          <w:spacing w:val="-2"/>
        </w:rPr>
        <w:t xml:space="preserve"> future</w:t>
      </w:r>
      <w:r w:rsidRPr="000634A4">
        <w:rPr>
          <w:color w:val="auto"/>
          <w:spacing w:val="-2"/>
        </w:rPr>
        <w:t xml:space="preserve"> issuance </w:t>
      </w:r>
      <w:r w:rsidR="00347117" w:rsidRPr="000634A4">
        <w:rPr>
          <w:color w:val="auto"/>
          <w:spacing w:val="-2"/>
        </w:rPr>
        <w:t>3</w:t>
      </w:r>
      <w:r w:rsidR="001B41D2" w:rsidRPr="000634A4">
        <w:rPr>
          <w:color w:val="auto"/>
          <w:spacing w:val="-2"/>
        </w:rPr>
        <w:t>,</w:t>
      </w:r>
      <w:r w:rsidR="00347117" w:rsidRPr="000634A4">
        <w:rPr>
          <w:color w:val="auto"/>
          <w:spacing w:val="-2"/>
        </w:rPr>
        <w:t>4</w:t>
      </w:r>
      <w:r w:rsidR="001B41D2" w:rsidRPr="000634A4">
        <w:rPr>
          <w:color w:val="auto"/>
          <w:spacing w:val="-2"/>
        </w:rPr>
        <w:t>96,297</w:t>
      </w:r>
      <w:r w:rsidR="00ED13C7" w:rsidRPr="000634A4">
        <w:rPr>
          <w:color w:val="auto"/>
          <w:spacing w:val="-2"/>
        </w:rPr>
        <w:t xml:space="preserve"> </w:t>
      </w:r>
      <w:r w:rsidRPr="000634A4">
        <w:rPr>
          <w:color w:val="auto"/>
          <w:spacing w:val="-2"/>
        </w:rPr>
        <w:t xml:space="preserve">shares of common stock pursuant to the Company’s stock option plans.  </w:t>
      </w:r>
    </w:p>
    <w:p w14:paraId="52B53B1F" w14:textId="77777777" w:rsidR="00CA4265" w:rsidRPr="000634A4" w:rsidRDefault="00CA4265" w:rsidP="005E5EAD">
      <w:pPr>
        <w:pStyle w:val="Style4"/>
        <w:keepNext/>
        <w:keepLines/>
        <w:spacing w:before="0" w:after="0" w:line="240" w:lineRule="atLeast"/>
        <w:jc w:val="both"/>
        <w:rPr>
          <w:color w:val="auto"/>
          <w:spacing w:val="-2"/>
        </w:rPr>
      </w:pPr>
    </w:p>
    <w:p w14:paraId="517400D9" w14:textId="12145674" w:rsidR="00EE625E" w:rsidRPr="00940279" w:rsidRDefault="00A81DCD" w:rsidP="00EE625E">
      <w:pPr>
        <w:tabs>
          <w:tab w:val="left" w:pos="-720"/>
          <w:tab w:val="left" w:pos="720"/>
        </w:tabs>
        <w:suppressAutoHyphens/>
        <w:spacing w:line="240" w:lineRule="atLeast"/>
        <w:jc w:val="both"/>
        <w:rPr>
          <w:spacing w:val="-2"/>
          <w:sz w:val="22"/>
          <w:szCs w:val="22"/>
          <w:lang w:bidi="he-IL"/>
        </w:rPr>
      </w:pPr>
      <w:r w:rsidRPr="000634A4">
        <w:rPr>
          <w:b/>
          <w:bCs/>
          <w:spacing w:val="-2"/>
          <w:sz w:val="22"/>
          <w:szCs w:val="22"/>
        </w:rPr>
        <w:tab/>
        <w:t>Treasury Stock -</w:t>
      </w:r>
      <w:bookmarkStart w:id="64" w:name="OLE_LINK13"/>
      <w:bookmarkStart w:id="65" w:name="OLE_LINK14"/>
      <w:r w:rsidRPr="000634A4">
        <w:rPr>
          <w:b/>
          <w:bCs/>
          <w:spacing w:val="-2"/>
          <w:sz w:val="22"/>
          <w:szCs w:val="22"/>
        </w:rPr>
        <w:t xml:space="preserve"> </w:t>
      </w:r>
      <w:r w:rsidRPr="000634A4">
        <w:rPr>
          <w:bCs/>
          <w:spacing w:val="-2"/>
          <w:sz w:val="22"/>
          <w:szCs w:val="22"/>
        </w:rPr>
        <w:t xml:space="preserve">In July 2019, the Company’s Board of Directors authorized the repurchase of up to $2.0 million of its common stock in open market or private transactions. There is no expiration date associated with the program. </w:t>
      </w:r>
      <w:r w:rsidR="002F0C0B" w:rsidRPr="00837C1A">
        <w:rPr>
          <w:bCs/>
          <w:spacing w:val="-2"/>
        </w:rPr>
        <w:t xml:space="preserve">There were no share repurchases in </w:t>
      </w:r>
      <w:r w:rsidR="002F0C0B">
        <w:rPr>
          <w:bCs/>
          <w:spacing w:val="-2"/>
        </w:rPr>
        <w:t xml:space="preserve">the years ended December 31, 2022 and </w:t>
      </w:r>
      <w:r w:rsidR="002F0C0B" w:rsidRPr="00837C1A">
        <w:rPr>
          <w:bCs/>
          <w:spacing w:val="-2"/>
        </w:rPr>
        <w:t>20</w:t>
      </w:r>
      <w:r w:rsidR="002F0C0B">
        <w:rPr>
          <w:bCs/>
          <w:spacing w:val="-2"/>
        </w:rPr>
        <w:t xml:space="preserve">21. </w:t>
      </w:r>
      <w:r w:rsidR="002F0C0B" w:rsidRPr="00837C1A">
        <w:rPr>
          <w:bCs/>
          <w:spacing w:val="-2"/>
        </w:rPr>
        <w:t>As of December 31, 20</w:t>
      </w:r>
      <w:r w:rsidR="002F0C0B">
        <w:rPr>
          <w:bCs/>
          <w:spacing w:val="-2"/>
        </w:rPr>
        <w:t>22</w:t>
      </w:r>
      <w:r w:rsidR="002F0C0B" w:rsidRPr="00837C1A">
        <w:rPr>
          <w:bCs/>
          <w:spacing w:val="-2"/>
        </w:rPr>
        <w:t xml:space="preserve">, the Company repurchased </w:t>
      </w:r>
      <w:r w:rsidR="002F0C0B">
        <w:rPr>
          <w:bCs/>
          <w:spacing w:val="-2"/>
        </w:rPr>
        <w:t xml:space="preserve">1.5 million </w:t>
      </w:r>
      <w:r w:rsidR="002F0C0B" w:rsidRPr="00837C1A">
        <w:rPr>
          <w:bCs/>
          <w:spacing w:val="-2"/>
        </w:rPr>
        <w:t xml:space="preserve">shares of its common stock under the </w:t>
      </w:r>
      <w:r w:rsidR="002F0C0B">
        <w:rPr>
          <w:bCs/>
          <w:spacing w:val="-2"/>
        </w:rPr>
        <w:t>July 2019</w:t>
      </w:r>
      <w:r w:rsidR="002F0C0B" w:rsidRPr="00837C1A">
        <w:rPr>
          <w:bCs/>
          <w:spacing w:val="-2"/>
        </w:rPr>
        <w:t xml:space="preserve"> authorization</w:t>
      </w:r>
      <w:r w:rsidR="002F0C0B">
        <w:rPr>
          <w:bCs/>
          <w:spacing w:val="-2"/>
        </w:rPr>
        <w:t xml:space="preserve"> with a value of $1.8 million</w:t>
      </w:r>
      <w:r w:rsidR="002F0C0B">
        <w:rPr>
          <w:spacing w:val="-2"/>
          <w:sz w:val="22"/>
          <w:szCs w:val="22"/>
          <w:lang w:bidi="he-IL"/>
        </w:rPr>
        <w:t>.</w:t>
      </w:r>
      <w:r w:rsidR="00EE625E" w:rsidRPr="00940279">
        <w:rPr>
          <w:spacing w:val="-2"/>
          <w:sz w:val="22"/>
          <w:szCs w:val="22"/>
          <w:lang w:bidi="he-IL"/>
        </w:rPr>
        <w:t xml:space="preserve"> </w:t>
      </w:r>
    </w:p>
    <w:p w14:paraId="2D4F8ADD" w14:textId="6A515E98" w:rsidR="00393F42" w:rsidRPr="000634A4" w:rsidRDefault="00393F42" w:rsidP="005E5EAD">
      <w:pPr>
        <w:tabs>
          <w:tab w:val="left" w:pos="-720"/>
          <w:tab w:val="left" w:pos="720"/>
        </w:tabs>
        <w:suppressAutoHyphens/>
        <w:spacing w:line="240" w:lineRule="atLeast"/>
        <w:jc w:val="both"/>
        <w:rPr>
          <w:bCs/>
          <w:spacing w:val="-2"/>
          <w:sz w:val="22"/>
          <w:szCs w:val="22"/>
        </w:rPr>
      </w:pPr>
    </w:p>
    <w:bookmarkEnd w:id="64"/>
    <w:bookmarkEnd w:id="65"/>
    <w:p w14:paraId="67EAD5C2" w14:textId="38E92555" w:rsidR="00A81DCD" w:rsidRPr="000634A4" w:rsidRDefault="00A81DCD" w:rsidP="005E5EAD">
      <w:pPr>
        <w:pStyle w:val="ListParagraph"/>
        <w:numPr>
          <w:ilvl w:val="0"/>
          <w:numId w:val="8"/>
        </w:numPr>
        <w:tabs>
          <w:tab w:val="left" w:pos="-720"/>
        </w:tabs>
        <w:suppressAutoHyphens/>
        <w:spacing w:line="240" w:lineRule="atLeast"/>
        <w:ind w:hanging="720"/>
        <w:jc w:val="both"/>
        <w:rPr>
          <w:rFonts w:ascii="Times New Roman" w:hAnsi="Times New Roman"/>
          <w:b/>
          <w:bCs/>
          <w:spacing w:val="-2"/>
        </w:rPr>
      </w:pPr>
      <w:r w:rsidRPr="000634A4">
        <w:rPr>
          <w:rFonts w:ascii="Times New Roman" w:hAnsi="Times New Roman"/>
          <w:b/>
          <w:bCs/>
          <w:spacing w:val="-2"/>
        </w:rPr>
        <w:t>Stock Options</w:t>
      </w:r>
    </w:p>
    <w:p w14:paraId="3717745B" w14:textId="77777777" w:rsidR="00A81DCD" w:rsidRPr="000634A4" w:rsidRDefault="00A81DCD" w:rsidP="005E5EAD">
      <w:pPr>
        <w:tabs>
          <w:tab w:val="left" w:pos="-720"/>
        </w:tabs>
        <w:suppressAutoHyphens/>
        <w:spacing w:line="240" w:lineRule="atLeast"/>
        <w:ind w:left="360" w:right="90"/>
        <w:jc w:val="both"/>
        <w:rPr>
          <w:b/>
          <w:bCs/>
          <w:spacing w:val="-2"/>
          <w:sz w:val="22"/>
          <w:szCs w:val="22"/>
        </w:rPr>
      </w:pPr>
    </w:p>
    <w:p w14:paraId="1E4B2D42" w14:textId="2A96EA30" w:rsidR="008A4560" w:rsidRPr="000634A4" w:rsidRDefault="008A4560" w:rsidP="005E5EAD">
      <w:pPr>
        <w:spacing w:line="240" w:lineRule="atLeast"/>
        <w:ind w:firstLine="720"/>
        <w:jc w:val="both"/>
        <w:rPr>
          <w:sz w:val="22"/>
          <w:szCs w:val="22"/>
        </w:rPr>
      </w:pPr>
      <w:r w:rsidRPr="000634A4">
        <w:rPr>
          <w:sz w:val="22"/>
          <w:szCs w:val="22"/>
        </w:rPr>
        <w:t>On June 7, 2016, stockholders of the Company approved amendments to the Innodata Inc. 2013 Stock Plan (as amended, the “</w:t>
      </w:r>
      <w:r w:rsidR="00A07722" w:rsidRPr="000634A4">
        <w:rPr>
          <w:sz w:val="22"/>
          <w:szCs w:val="22"/>
        </w:rPr>
        <w:t xml:space="preserve">2013 </w:t>
      </w:r>
      <w:r w:rsidRPr="000634A4">
        <w:rPr>
          <w:sz w:val="22"/>
          <w:szCs w:val="22"/>
        </w:rPr>
        <w:t xml:space="preserve">Plan”). The number of shares of common stock of Innodata Inc. that may be delivered, purchased or used for reference purposes (with respect to stock appreciation rights or stock units) for awards granted under the </w:t>
      </w:r>
      <w:r w:rsidR="00A07722" w:rsidRPr="000634A4">
        <w:rPr>
          <w:sz w:val="22"/>
          <w:szCs w:val="22"/>
        </w:rPr>
        <w:t xml:space="preserve">2013 </w:t>
      </w:r>
      <w:r w:rsidRPr="000634A4">
        <w:rPr>
          <w:sz w:val="22"/>
          <w:szCs w:val="22"/>
        </w:rPr>
        <w:t xml:space="preserve">Plan after June 7, 2016 is 5,858,892 (the </w:t>
      </w:r>
      <w:r w:rsidR="00BD37E4" w:rsidRPr="000634A4">
        <w:rPr>
          <w:sz w:val="22"/>
          <w:szCs w:val="22"/>
        </w:rPr>
        <w:t>“</w:t>
      </w:r>
      <w:r w:rsidRPr="000634A4">
        <w:rPr>
          <w:sz w:val="22"/>
          <w:szCs w:val="22"/>
        </w:rPr>
        <w:t>Share Reserve</w:t>
      </w:r>
      <w:r w:rsidR="00BD37E4" w:rsidRPr="000634A4">
        <w:rPr>
          <w:sz w:val="22"/>
          <w:szCs w:val="22"/>
        </w:rPr>
        <w:t>”</w:t>
      </w:r>
      <w:r w:rsidRPr="000634A4">
        <w:rPr>
          <w:sz w:val="22"/>
          <w:szCs w:val="22"/>
        </w:rPr>
        <w:t>).</w:t>
      </w:r>
      <w:r w:rsidR="0041645A" w:rsidRPr="000634A4">
        <w:rPr>
          <w:sz w:val="22"/>
          <w:szCs w:val="22"/>
        </w:rPr>
        <w:t xml:space="preserve"> </w:t>
      </w:r>
      <w:r w:rsidRPr="000634A4">
        <w:rPr>
          <w:sz w:val="22"/>
          <w:szCs w:val="22"/>
        </w:rPr>
        <w:t xml:space="preserve">Shares subject to an option or stock appreciation right granted under the </w:t>
      </w:r>
      <w:r w:rsidR="00A07722" w:rsidRPr="000634A4">
        <w:rPr>
          <w:sz w:val="22"/>
          <w:szCs w:val="22"/>
        </w:rPr>
        <w:t xml:space="preserve">2013 </w:t>
      </w:r>
      <w:r w:rsidRPr="000634A4">
        <w:rPr>
          <w:sz w:val="22"/>
          <w:szCs w:val="22"/>
        </w:rPr>
        <w:t xml:space="preserve">Plan after June 7, 2016 count against the Share Reserve as one share for every share granted, and shares subject to any other type of award granted under the </w:t>
      </w:r>
      <w:r w:rsidR="00A07722" w:rsidRPr="000634A4">
        <w:rPr>
          <w:sz w:val="22"/>
          <w:szCs w:val="22"/>
        </w:rPr>
        <w:t xml:space="preserve">2013 </w:t>
      </w:r>
      <w:r w:rsidRPr="000634A4">
        <w:rPr>
          <w:sz w:val="22"/>
          <w:szCs w:val="22"/>
        </w:rPr>
        <w:t xml:space="preserve">Plan </w:t>
      </w:r>
      <w:r w:rsidRPr="000634A4">
        <w:rPr>
          <w:sz w:val="22"/>
          <w:szCs w:val="22"/>
        </w:rPr>
        <w:lastRenderedPageBreak/>
        <w:t>after June 7, 2016 count against the Share Reserve as two shares for every share granted. Any award, or portion of an award, under the</w:t>
      </w:r>
      <w:r w:rsidR="00A07722" w:rsidRPr="000634A4">
        <w:rPr>
          <w:sz w:val="22"/>
          <w:szCs w:val="22"/>
        </w:rPr>
        <w:t xml:space="preserve"> 2013</w:t>
      </w:r>
      <w:r w:rsidRPr="000634A4">
        <w:rPr>
          <w:sz w:val="22"/>
          <w:szCs w:val="22"/>
        </w:rPr>
        <w:t xml:space="preserve"> Plan or under the Company’s 2009 Stock Plan (as amended and restated (the Prior Plan)) that expires or terminates unexercised, becomes unexercisable or is forfeited or otherwise terminated, surrendered or canceled as to any shares without delivery of shares or other consideration will be added back to the Share Reserve as one share for each such share that was subject to an option or stock appreciation right granted under the </w:t>
      </w:r>
      <w:r w:rsidR="00A07722" w:rsidRPr="000634A4">
        <w:rPr>
          <w:sz w:val="22"/>
          <w:szCs w:val="22"/>
        </w:rPr>
        <w:t xml:space="preserve">2013 </w:t>
      </w:r>
      <w:r w:rsidRPr="000634A4">
        <w:rPr>
          <w:sz w:val="22"/>
          <w:szCs w:val="22"/>
        </w:rPr>
        <w:t xml:space="preserve">Plan or the Prior Plan, and two shares for each such share that was subject to an award other than an option or stock appreciation right granted under the </w:t>
      </w:r>
      <w:r w:rsidR="00A07722" w:rsidRPr="000634A4">
        <w:rPr>
          <w:sz w:val="22"/>
          <w:szCs w:val="22"/>
        </w:rPr>
        <w:t xml:space="preserve">2013 </w:t>
      </w:r>
      <w:r w:rsidRPr="000634A4">
        <w:rPr>
          <w:sz w:val="22"/>
          <w:szCs w:val="22"/>
        </w:rPr>
        <w:t xml:space="preserve">Plan or the Prior Plan. If any shares are withheld, tendered or exchanged by a participant in the </w:t>
      </w:r>
      <w:r w:rsidR="00A07722" w:rsidRPr="000634A4">
        <w:rPr>
          <w:sz w:val="22"/>
          <w:szCs w:val="22"/>
        </w:rPr>
        <w:t xml:space="preserve">2013 </w:t>
      </w:r>
      <w:r w:rsidRPr="000634A4">
        <w:rPr>
          <w:sz w:val="22"/>
          <w:szCs w:val="22"/>
        </w:rPr>
        <w:t xml:space="preserve">Plan as full or partial payment to Innodata of the exercise price under an option under the </w:t>
      </w:r>
      <w:r w:rsidR="00A07722" w:rsidRPr="000634A4">
        <w:rPr>
          <w:sz w:val="22"/>
          <w:szCs w:val="22"/>
        </w:rPr>
        <w:t xml:space="preserve">2013 </w:t>
      </w:r>
      <w:r w:rsidRPr="000634A4">
        <w:rPr>
          <w:sz w:val="22"/>
          <w:szCs w:val="22"/>
        </w:rPr>
        <w:t xml:space="preserve">Plan or the Prior Plan or in satisfaction of a participant’s tax withholding obligations with respect to any award under the </w:t>
      </w:r>
      <w:r w:rsidR="00A07722" w:rsidRPr="000634A4">
        <w:rPr>
          <w:sz w:val="22"/>
          <w:szCs w:val="22"/>
        </w:rPr>
        <w:t xml:space="preserve">2013 </w:t>
      </w:r>
      <w:r w:rsidRPr="000634A4">
        <w:rPr>
          <w:sz w:val="22"/>
          <w:szCs w:val="22"/>
        </w:rPr>
        <w:t xml:space="preserve">Plan or the Prior Plan, there will be added back to the Share Reserve one share for each such share that was withheld, tendered or exchanged in respect of an option or stock appreciation right granted under the </w:t>
      </w:r>
      <w:r w:rsidR="00A07722" w:rsidRPr="000634A4">
        <w:rPr>
          <w:sz w:val="22"/>
          <w:szCs w:val="22"/>
        </w:rPr>
        <w:t xml:space="preserve">2013 </w:t>
      </w:r>
      <w:r w:rsidRPr="000634A4">
        <w:rPr>
          <w:sz w:val="22"/>
          <w:szCs w:val="22"/>
        </w:rPr>
        <w:t xml:space="preserve">Plan or the Prior Plan, and two shares for each such share that was withheld, tendered or exchanged in respect of an award other than an option or stock appreciation right granted under the </w:t>
      </w:r>
      <w:r w:rsidR="00A07722" w:rsidRPr="000634A4">
        <w:rPr>
          <w:sz w:val="22"/>
          <w:szCs w:val="22"/>
        </w:rPr>
        <w:t xml:space="preserve">2013 </w:t>
      </w:r>
      <w:r w:rsidRPr="000634A4">
        <w:rPr>
          <w:sz w:val="22"/>
          <w:szCs w:val="22"/>
        </w:rPr>
        <w:t>Plan or the Prior Plan.</w:t>
      </w:r>
    </w:p>
    <w:p w14:paraId="0CAC5C4D" w14:textId="249AF3C7" w:rsidR="00EC5939" w:rsidRPr="000634A4" w:rsidRDefault="00EC5939" w:rsidP="008A4560">
      <w:pPr>
        <w:ind w:firstLine="720"/>
        <w:jc w:val="both"/>
        <w:rPr>
          <w:sz w:val="22"/>
          <w:szCs w:val="22"/>
        </w:rPr>
      </w:pPr>
    </w:p>
    <w:p w14:paraId="213B81F4" w14:textId="33071AA0" w:rsidR="00EC5939" w:rsidRPr="000634A4" w:rsidRDefault="00EC5939" w:rsidP="00EC5939">
      <w:pPr>
        <w:ind w:firstLine="720"/>
        <w:jc w:val="both"/>
        <w:rPr>
          <w:sz w:val="22"/>
          <w:szCs w:val="22"/>
        </w:rPr>
      </w:pPr>
      <w:r w:rsidRPr="000634A4">
        <w:rPr>
          <w:sz w:val="22"/>
          <w:szCs w:val="22"/>
        </w:rPr>
        <w:t xml:space="preserve">On June </w:t>
      </w:r>
      <w:r w:rsidR="00A07722" w:rsidRPr="000634A4">
        <w:rPr>
          <w:sz w:val="22"/>
          <w:szCs w:val="22"/>
        </w:rPr>
        <w:t>9</w:t>
      </w:r>
      <w:r w:rsidRPr="000634A4">
        <w:rPr>
          <w:sz w:val="22"/>
          <w:szCs w:val="22"/>
        </w:rPr>
        <w:t>, 202</w:t>
      </w:r>
      <w:r w:rsidR="00A07722" w:rsidRPr="000634A4">
        <w:rPr>
          <w:sz w:val="22"/>
          <w:szCs w:val="22"/>
        </w:rPr>
        <w:t>2</w:t>
      </w:r>
      <w:r w:rsidRPr="000634A4">
        <w:rPr>
          <w:sz w:val="22"/>
          <w:szCs w:val="22"/>
        </w:rPr>
        <w:t xml:space="preserve">, stockholders of the Company approved </w:t>
      </w:r>
      <w:r w:rsidR="00A07722" w:rsidRPr="000634A4">
        <w:rPr>
          <w:sz w:val="22"/>
          <w:szCs w:val="22"/>
        </w:rPr>
        <w:t xml:space="preserve">amendments to </w:t>
      </w:r>
      <w:r w:rsidRPr="000634A4">
        <w:rPr>
          <w:sz w:val="22"/>
          <w:szCs w:val="22"/>
        </w:rPr>
        <w:t>the Innodata Inc. 2021 Equity Compensation Plan (</w:t>
      </w:r>
      <w:r w:rsidR="00A07722" w:rsidRPr="000634A4">
        <w:rPr>
          <w:sz w:val="22"/>
          <w:szCs w:val="22"/>
        </w:rPr>
        <w:t xml:space="preserve">as amended, </w:t>
      </w:r>
      <w:r w:rsidRPr="000634A4">
        <w:rPr>
          <w:sz w:val="22"/>
          <w:szCs w:val="22"/>
        </w:rPr>
        <w:t xml:space="preserve">the “2021 Plan”). The number of shares of common stock of Innodata Inc. that may be delivered, purchased or used for reference purposes (with respect to stock appreciation rights or stock units) for awards granted under the 2021 Plan </w:t>
      </w:r>
      <w:r w:rsidR="004D66D7" w:rsidRPr="000634A4">
        <w:rPr>
          <w:sz w:val="22"/>
          <w:szCs w:val="22"/>
        </w:rPr>
        <w:t>is 4,000,000</w:t>
      </w:r>
      <w:r w:rsidRPr="000634A4">
        <w:rPr>
          <w:sz w:val="22"/>
          <w:szCs w:val="22"/>
        </w:rPr>
        <w:t>(the “Share Reserve”).  Shares subject to an option or stock appreciation right granted under the 2021 Plan count against the Share Reserve as one share for every share granted, and shares subject to any other type of award granted under the 2021 Plan count against the Share Reserve as two shares for every share granted</w:t>
      </w:r>
      <w:r w:rsidR="00BD37E4" w:rsidRPr="000634A4">
        <w:rPr>
          <w:sz w:val="22"/>
          <w:szCs w:val="22"/>
        </w:rPr>
        <w:t xml:space="preserve"> for awards granted prior to </w:t>
      </w:r>
      <w:r w:rsidR="0025010A" w:rsidRPr="000634A4">
        <w:rPr>
          <w:sz w:val="22"/>
          <w:szCs w:val="22"/>
        </w:rPr>
        <w:t>April 11, 2022</w:t>
      </w:r>
      <w:r w:rsidR="00BD37E4" w:rsidRPr="000634A4">
        <w:rPr>
          <w:sz w:val="22"/>
          <w:szCs w:val="22"/>
        </w:rPr>
        <w:t xml:space="preserve">, and one and a half shares for every share granted for awards granted on or after </w:t>
      </w:r>
      <w:r w:rsidR="0025010A" w:rsidRPr="000634A4">
        <w:rPr>
          <w:sz w:val="22"/>
          <w:szCs w:val="22"/>
        </w:rPr>
        <w:t>April 11, 2022</w:t>
      </w:r>
      <w:r w:rsidRPr="000634A4">
        <w:rPr>
          <w:sz w:val="22"/>
          <w:szCs w:val="22"/>
        </w:rPr>
        <w:t xml:space="preserve">. Any shares withheld, tendered or exchanged by a participant in the 2021 Plan as full or partial payment to Innodata of the exercise price under an option under the 2021 Plan or in satisfaction of a participant’s tax withholding obligations with respect to any award under the 2021 Plan, will not be added back to the Share Reserve. </w:t>
      </w:r>
    </w:p>
    <w:p w14:paraId="6786D7C8" w14:textId="77777777" w:rsidR="00EC5939" w:rsidRPr="000634A4" w:rsidRDefault="00EC5939" w:rsidP="008A4560">
      <w:pPr>
        <w:ind w:firstLine="720"/>
        <w:jc w:val="both"/>
        <w:rPr>
          <w:sz w:val="22"/>
          <w:szCs w:val="22"/>
        </w:rPr>
      </w:pPr>
    </w:p>
    <w:p w14:paraId="7B82FD51" w14:textId="2148B11A" w:rsidR="00D45421" w:rsidRPr="000634A4" w:rsidRDefault="00A81DCD" w:rsidP="005E5EAD">
      <w:pPr>
        <w:tabs>
          <w:tab w:val="left" w:pos="-720"/>
          <w:tab w:val="left" w:pos="720"/>
        </w:tabs>
        <w:suppressAutoHyphens/>
        <w:spacing w:line="240" w:lineRule="atLeast"/>
        <w:jc w:val="both"/>
        <w:rPr>
          <w:spacing w:val="-2"/>
          <w:sz w:val="22"/>
          <w:szCs w:val="22"/>
        </w:rPr>
      </w:pPr>
      <w:r w:rsidRPr="000634A4">
        <w:rPr>
          <w:spacing w:val="-2"/>
          <w:sz w:val="22"/>
          <w:szCs w:val="22"/>
        </w:rPr>
        <w:tab/>
        <w:t xml:space="preserve">The fair value of stock options is estimated on the date of grant using the Black-Scholes option pricing model. The weighted-average fair value of the options </w:t>
      </w:r>
      <w:r w:rsidR="0041645A" w:rsidRPr="000634A4">
        <w:rPr>
          <w:spacing w:val="-2"/>
          <w:sz w:val="22"/>
          <w:szCs w:val="22"/>
        </w:rPr>
        <w:t>granted,</w:t>
      </w:r>
      <w:r w:rsidRPr="000634A4">
        <w:rPr>
          <w:spacing w:val="-2"/>
          <w:sz w:val="22"/>
          <w:szCs w:val="22"/>
        </w:rPr>
        <w:t xml:space="preserve"> and weighted-average assumptions were as follows:</w:t>
      </w:r>
    </w:p>
    <w:p w14:paraId="626C5426" w14:textId="7CBEE3AB" w:rsidR="00A81DCD" w:rsidRPr="000634A4" w:rsidRDefault="00A81DCD" w:rsidP="00A81DCD">
      <w:pPr>
        <w:tabs>
          <w:tab w:val="left" w:pos="-720"/>
        </w:tabs>
        <w:suppressAutoHyphens/>
        <w:spacing w:line="240" w:lineRule="atLeast"/>
        <w:ind w:right="90"/>
        <w:jc w:val="center"/>
        <w:rPr>
          <w:spacing w:val="-2"/>
          <w:sz w:val="22"/>
          <w:szCs w:val="22"/>
        </w:rPr>
      </w:pPr>
      <w:r w:rsidRPr="000634A4">
        <w:rPr>
          <w:spacing w:val="-2"/>
          <w:sz w:val="22"/>
          <w:szCs w:val="22"/>
        </w:rPr>
        <w:t xml:space="preserve"> </w:t>
      </w:r>
      <w:r w:rsidR="00404077" w:rsidRPr="000634A4">
        <w:rPr>
          <w:spacing w:val="-2"/>
          <w:sz w:val="22"/>
          <w:szCs w:val="22"/>
        </w:rPr>
        <w:t xml:space="preserve"> </w:t>
      </w:r>
      <w:r w:rsidR="009E047F" w:rsidRPr="000634A4">
        <w:rPr>
          <w:spacing w:val="-2"/>
          <w:sz w:val="22"/>
          <w:szCs w:val="22"/>
        </w:rPr>
        <w:t xml:space="preserve"> </w:t>
      </w:r>
      <w:r w:rsidR="009E047F" w:rsidRPr="000634A4">
        <w:rPr>
          <w:noProof/>
          <w:lang w:eastAsia="zh-CN"/>
        </w:rPr>
        <w:drawing>
          <wp:inline distT="0" distB="0" distL="0" distR="0" wp14:anchorId="6855366C" wp14:editId="3DB9E4AD">
            <wp:extent cx="6183630" cy="1323975"/>
            <wp:effectExtent l="0" t="0" r="762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83630" cy="1323975"/>
                    </a:xfrm>
                    <a:prstGeom prst="rect">
                      <a:avLst/>
                    </a:prstGeom>
                    <a:noFill/>
                    <a:ln>
                      <a:noFill/>
                    </a:ln>
                  </pic:spPr>
                </pic:pic>
              </a:graphicData>
            </a:graphic>
          </wp:inline>
        </w:drawing>
      </w:r>
    </w:p>
    <w:p w14:paraId="7DB4FD44" w14:textId="77777777" w:rsidR="00A45242" w:rsidRPr="000634A4" w:rsidRDefault="00A45242" w:rsidP="00A81DCD">
      <w:pPr>
        <w:tabs>
          <w:tab w:val="left" w:pos="-720"/>
        </w:tabs>
        <w:suppressAutoHyphens/>
        <w:spacing w:line="240" w:lineRule="atLeast"/>
        <w:ind w:right="90"/>
        <w:jc w:val="center"/>
        <w:rPr>
          <w:spacing w:val="-2"/>
          <w:sz w:val="22"/>
          <w:szCs w:val="22"/>
        </w:rPr>
      </w:pPr>
    </w:p>
    <w:p w14:paraId="1E81DF85" w14:textId="77777777" w:rsidR="00A81DCD" w:rsidRPr="000634A4" w:rsidRDefault="00A81DCD" w:rsidP="00A81DCD">
      <w:pPr>
        <w:tabs>
          <w:tab w:val="left" w:pos="-720"/>
          <w:tab w:val="left" w:pos="720"/>
        </w:tabs>
        <w:suppressAutoHyphens/>
        <w:spacing w:line="240" w:lineRule="atLeast"/>
        <w:jc w:val="both"/>
        <w:rPr>
          <w:spacing w:val="-2"/>
          <w:sz w:val="22"/>
          <w:szCs w:val="22"/>
        </w:rPr>
      </w:pPr>
      <w:r w:rsidRPr="000634A4">
        <w:rPr>
          <w:b/>
          <w:spacing w:val="-2"/>
          <w:sz w:val="22"/>
          <w:szCs w:val="22"/>
        </w:rPr>
        <w:tab/>
      </w:r>
      <w:r w:rsidRPr="000634A4">
        <w:rPr>
          <w:spacing w:val="-2"/>
          <w:sz w:val="22"/>
          <w:szCs w:val="22"/>
        </w:rPr>
        <w:t>T</w:t>
      </w:r>
      <w:r w:rsidRPr="000634A4">
        <w:rPr>
          <w:sz w:val="22"/>
          <w:szCs w:val="22"/>
        </w:rPr>
        <w:t xml:space="preserve">he Company estimates the risk-free interest rate using the U.S. Treasury yield curve for periods equal to the expected term of the options in effect at the time of grant. The expected term of options granted is based on a combination of vesting schedules, term of the options and historical experience. </w:t>
      </w:r>
      <w:r w:rsidRPr="000634A4">
        <w:rPr>
          <w:spacing w:val="-2"/>
          <w:sz w:val="22"/>
          <w:szCs w:val="22"/>
        </w:rPr>
        <w:t>Expected volatility is based on historical volatility of the Company’s common stock. T</w:t>
      </w:r>
      <w:r w:rsidRPr="000634A4">
        <w:rPr>
          <w:sz w:val="22"/>
          <w:szCs w:val="22"/>
        </w:rPr>
        <w:t>he Company uses an expected dividend yield of zero since it has never declared or paid any dividends on its capital stock.</w:t>
      </w:r>
    </w:p>
    <w:p w14:paraId="7768C143" w14:textId="77777777" w:rsidR="00A81DCD" w:rsidRPr="000634A4" w:rsidRDefault="00A81DCD" w:rsidP="00A81DCD">
      <w:pPr>
        <w:tabs>
          <w:tab w:val="left" w:pos="-720"/>
          <w:tab w:val="left" w:pos="720"/>
        </w:tabs>
        <w:suppressAutoHyphens/>
        <w:spacing w:line="240" w:lineRule="atLeast"/>
        <w:jc w:val="both"/>
        <w:rPr>
          <w:spacing w:val="-2"/>
          <w:sz w:val="22"/>
          <w:szCs w:val="22"/>
        </w:rPr>
      </w:pPr>
    </w:p>
    <w:p w14:paraId="24413C09" w14:textId="46F497F5" w:rsidR="005409E2" w:rsidRPr="000634A4" w:rsidRDefault="005409E2" w:rsidP="005409E2">
      <w:pPr>
        <w:pStyle w:val="ListParagraph"/>
        <w:tabs>
          <w:tab w:val="left" w:pos="1080"/>
        </w:tabs>
        <w:ind w:left="0" w:firstLine="720"/>
        <w:jc w:val="both"/>
        <w:rPr>
          <w:spacing w:val="-2"/>
        </w:rPr>
      </w:pPr>
      <w:r w:rsidRPr="000634A4">
        <w:rPr>
          <w:spacing w:val="-2"/>
        </w:rPr>
        <w:t xml:space="preserve">A summary of option activity under the Innodata Inc. 2013 Stock Plan, as amended and restated effective June 7, 2016 (the “2013 Plan”) and changes during each of </w:t>
      </w:r>
      <w:r w:rsidR="00B13B0D" w:rsidRPr="000634A4">
        <w:rPr>
          <w:spacing w:val="-2"/>
        </w:rPr>
        <w:t xml:space="preserve">year </w:t>
      </w:r>
      <w:r w:rsidRPr="000634A4">
        <w:rPr>
          <w:spacing w:val="-2"/>
        </w:rPr>
        <w:t xml:space="preserve">ended </w:t>
      </w:r>
      <w:r w:rsidR="00B13B0D" w:rsidRPr="000634A4">
        <w:rPr>
          <w:spacing w:val="-2"/>
        </w:rPr>
        <w:t xml:space="preserve">December </w:t>
      </w:r>
      <w:r w:rsidRPr="000634A4">
        <w:rPr>
          <w:spacing w:val="-2"/>
        </w:rPr>
        <w:t>3</w:t>
      </w:r>
      <w:r w:rsidR="00B13B0D" w:rsidRPr="000634A4">
        <w:rPr>
          <w:spacing w:val="-2"/>
        </w:rPr>
        <w:t>1</w:t>
      </w:r>
      <w:r w:rsidRPr="000634A4">
        <w:rPr>
          <w:spacing w:val="-2"/>
        </w:rPr>
        <w:t>, 2022 and 2021 are presented below:</w:t>
      </w:r>
    </w:p>
    <w:p w14:paraId="73A1FDDC" w14:textId="6D5D9EE6" w:rsidR="00A81DCD" w:rsidRPr="000634A4" w:rsidRDefault="002F0517" w:rsidP="00A81DCD">
      <w:pPr>
        <w:tabs>
          <w:tab w:val="left" w:pos="-720"/>
        </w:tabs>
        <w:suppressAutoHyphens/>
        <w:spacing w:line="240" w:lineRule="atLeast"/>
        <w:jc w:val="both"/>
        <w:rPr>
          <w:spacing w:val="-2"/>
          <w:sz w:val="22"/>
          <w:szCs w:val="22"/>
        </w:rPr>
      </w:pPr>
      <w:r w:rsidRPr="000634A4">
        <w:rPr>
          <w:noProof/>
          <w:lang w:eastAsia="zh-CN"/>
        </w:rPr>
        <w:lastRenderedPageBreak/>
        <w:drawing>
          <wp:inline distT="0" distB="0" distL="0" distR="0" wp14:anchorId="5481585D" wp14:editId="5BEF75F0">
            <wp:extent cx="6183630" cy="27419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83630" cy="2741930"/>
                    </a:xfrm>
                    <a:prstGeom prst="rect">
                      <a:avLst/>
                    </a:prstGeom>
                    <a:noFill/>
                    <a:ln>
                      <a:noFill/>
                    </a:ln>
                  </pic:spPr>
                </pic:pic>
              </a:graphicData>
            </a:graphic>
          </wp:inline>
        </w:drawing>
      </w:r>
    </w:p>
    <w:p w14:paraId="79BE3276" w14:textId="7A3293AA" w:rsidR="00991AF8" w:rsidRPr="000634A4" w:rsidRDefault="00941338" w:rsidP="00A81DCD">
      <w:pPr>
        <w:tabs>
          <w:tab w:val="left" w:pos="-720"/>
        </w:tabs>
        <w:suppressAutoHyphens/>
        <w:spacing w:line="240" w:lineRule="atLeast"/>
        <w:jc w:val="both"/>
        <w:rPr>
          <w:i/>
          <w:iCs/>
          <w:spacing w:val="-2"/>
          <w:sz w:val="16"/>
          <w:szCs w:val="16"/>
        </w:rPr>
      </w:pPr>
      <w:r w:rsidRPr="000634A4">
        <w:rPr>
          <w:i/>
          <w:iCs/>
          <w:spacing w:val="-2"/>
          <w:sz w:val="16"/>
          <w:szCs w:val="16"/>
        </w:rPr>
        <w:t xml:space="preserve">*Includes 110,000 stock options granted by the Company to </w:t>
      </w:r>
      <w:r w:rsidR="00A45E9B" w:rsidRPr="000634A4">
        <w:rPr>
          <w:i/>
          <w:iCs/>
          <w:spacing w:val="-2"/>
          <w:sz w:val="16"/>
          <w:szCs w:val="16"/>
        </w:rPr>
        <w:t xml:space="preserve">a </w:t>
      </w:r>
      <w:r w:rsidRPr="000634A4">
        <w:rPr>
          <w:i/>
          <w:iCs/>
          <w:spacing w:val="-2"/>
          <w:sz w:val="16"/>
          <w:szCs w:val="16"/>
        </w:rPr>
        <w:t xml:space="preserve">non-employee director of the Company during the </w:t>
      </w:r>
      <w:r w:rsidR="00B77519" w:rsidRPr="000634A4">
        <w:rPr>
          <w:i/>
          <w:iCs/>
          <w:spacing w:val="-2"/>
          <w:sz w:val="16"/>
          <w:szCs w:val="16"/>
        </w:rPr>
        <w:t xml:space="preserve">year </w:t>
      </w:r>
      <w:r w:rsidRPr="000634A4">
        <w:rPr>
          <w:i/>
          <w:iCs/>
          <w:spacing w:val="-2"/>
          <w:sz w:val="16"/>
          <w:szCs w:val="16"/>
        </w:rPr>
        <w:t xml:space="preserve">ended </w:t>
      </w:r>
      <w:r w:rsidR="00B77519" w:rsidRPr="000634A4">
        <w:rPr>
          <w:i/>
          <w:iCs/>
          <w:spacing w:val="-2"/>
          <w:sz w:val="16"/>
          <w:szCs w:val="16"/>
        </w:rPr>
        <w:t xml:space="preserve">December </w:t>
      </w:r>
      <w:r w:rsidRPr="000634A4">
        <w:rPr>
          <w:i/>
          <w:iCs/>
          <w:spacing w:val="-2"/>
          <w:sz w:val="16"/>
          <w:szCs w:val="16"/>
        </w:rPr>
        <w:t>3</w:t>
      </w:r>
      <w:r w:rsidR="00B77519" w:rsidRPr="000634A4">
        <w:rPr>
          <w:i/>
          <w:iCs/>
          <w:spacing w:val="-2"/>
          <w:sz w:val="16"/>
          <w:szCs w:val="16"/>
        </w:rPr>
        <w:t>1</w:t>
      </w:r>
      <w:r w:rsidRPr="000634A4">
        <w:rPr>
          <w:i/>
          <w:iCs/>
          <w:spacing w:val="-2"/>
          <w:sz w:val="16"/>
          <w:szCs w:val="16"/>
        </w:rPr>
        <w:t>, 2022. The stock option fully vests on January 1, 2025.</w:t>
      </w:r>
    </w:p>
    <w:p w14:paraId="6539A10B" w14:textId="77777777" w:rsidR="003B2C89" w:rsidRPr="000634A4" w:rsidRDefault="003B2C89" w:rsidP="00A81DCD">
      <w:pPr>
        <w:tabs>
          <w:tab w:val="left" w:pos="-720"/>
          <w:tab w:val="left" w:pos="720"/>
        </w:tabs>
        <w:suppressAutoHyphens/>
        <w:spacing w:line="240" w:lineRule="exact"/>
        <w:jc w:val="both"/>
        <w:rPr>
          <w:spacing w:val="-2"/>
          <w:sz w:val="22"/>
          <w:szCs w:val="22"/>
        </w:rPr>
      </w:pPr>
      <w:bookmarkStart w:id="66" w:name="_MON_1390301851"/>
      <w:bookmarkStart w:id="67" w:name="_MON_1390301720"/>
      <w:bookmarkStart w:id="68" w:name="_MON_1391329054"/>
      <w:bookmarkStart w:id="69" w:name="_MON_1390301813"/>
      <w:bookmarkStart w:id="70" w:name="_MON_1390301830"/>
      <w:bookmarkEnd w:id="66"/>
      <w:bookmarkEnd w:id="67"/>
      <w:bookmarkEnd w:id="68"/>
      <w:bookmarkEnd w:id="69"/>
      <w:bookmarkEnd w:id="70"/>
    </w:p>
    <w:p w14:paraId="2F001E45" w14:textId="22CEDB85" w:rsidR="00B13B0D" w:rsidRPr="000634A4" w:rsidRDefault="00B13B0D" w:rsidP="005E5EAD">
      <w:pPr>
        <w:tabs>
          <w:tab w:val="left" w:pos="-720"/>
          <w:tab w:val="left" w:pos="720"/>
        </w:tabs>
        <w:suppressAutoHyphens/>
        <w:spacing w:line="240" w:lineRule="atLeast"/>
        <w:jc w:val="both"/>
        <w:rPr>
          <w:spacing w:val="-2"/>
          <w:sz w:val="22"/>
          <w:szCs w:val="22"/>
        </w:rPr>
      </w:pPr>
      <w:r w:rsidRPr="000634A4">
        <w:rPr>
          <w:spacing w:val="-2"/>
          <w:sz w:val="22"/>
          <w:szCs w:val="22"/>
        </w:rPr>
        <w:t>A summary of option activity under the Innodata Inc. 2021 Equity Compensation Plan, as amended and restated effective as of April 11, 2022 (the “2021 Plan”) and changes during the year ended December 31, 2022 and 2021 are presented below:</w:t>
      </w:r>
      <w:r w:rsidR="00A81DCD" w:rsidRPr="000634A4">
        <w:rPr>
          <w:spacing w:val="-2"/>
          <w:sz w:val="22"/>
          <w:szCs w:val="22"/>
        </w:rPr>
        <w:tab/>
      </w:r>
    </w:p>
    <w:p w14:paraId="1BEA732C" w14:textId="21AB0882" w:rsidR="00E33C8B" w:rsidRPr="000634A4" w:rsidRDefault="00182E4E" w:rsidP="005E5EAD">
      <w:pPr>
        <w:tabs>
          <w:tab w:val="left" w:pos="-720"/>
          <w:tab w:val="left" w:pos="720"/>
        </w:tabs>
        <w:suppressAutoHyphens/>
        <w:spacing w:line="240" w:lineRule="atLeast"/>
        <w:jc w:val="both"/>
        <w:rPr>
          <w:spacing w:val="-2"/>
          <w:sz w:val="22"/>
          <w:szCs w:val="22"/>
        </w:rPr>
      </w:pPr>
      <w:r w:rsidRPr="000634A4">
        <w:rPr>
          <w:noProof/>
          <w:lang w:eastAsia="zh-CN"/>
        </w:rPr>
        <w:drawing>
          <wp:inline distT="0" distB="0" distL="0" distR="0" wp14:anchorId="0B49D722" wp14:editId="3EBF50F9">
            <wp:extent cx="6183630" cy="27609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83630" cy="2760980"/>
                    </a:xfrm>
                    <a:prstGeom prst="rect">
                      <a:avLst/>
                    </a:prstGeom>
                    <a:noFill/>
                    <a:ln>
                      <a:noFill/>
                    </a:ln>
                  </pic:spPr>
                </pic:pic>
              </a:graphicData>
            </a:graphic>
          </wp:inline>
        </w:drawing>
      </w:r>
    </w:p>
    <w:p w14:paraId="78A9A332" w14:textId="77777777" w:rsidR="00991AF8" w:rsidRPr="000634A4" w:rsidRDefault="00991AF8" w:rsidP="00991AF8">
      <w:pPr>
        <w:tabs>
          <w:tab w:val="left" w:pos="-720"/>
        </w:tabs>
        <w:suppressAutoHyphens/>
        <w:spacing w:line="240" w:lineRule="atLeast"/>
        <w:jc w:val="both"/>
        <w:rPr>
          <w:i/>
          <w:iCs/>
          <w:spacing w:val="-2"/>
          <w:sz w:val="16"/>
          <w:szCs w:val="16"/>
        </w:rPr>
      </w:pPr>
      <w:r w:rsidRPr="000634A4">
        <w:rPr>
          <w:i/>
          <w:iCs/>
          <w:spacing w:val="-2"/>
          <w:sz w:val="16"/>
          <w:szCs w:val="16"/>
        </w:rPr>
        <w:t>*During the year ended December 31, 2022, the Company granted 132,000 stock options to non-employee directors of the Company which vest on the first anniversary of the date of grant. In addition, during the year ended December 31, 2022 the Company granted 50,000 stock options to non-employee members of the Company’s advisory board in lieu of cash compensation. The stock options vest in 12 monthly installments from the date of grant.</w:t>
      </w:r>
    </w:p>
    <w:p w14:paraId="34DC7124" w14:textId="2EEBDA45" w:rsidR="00E03D7F" w:rsidRPr="000634A4" w:rsidRDefault="00E03D7F" w:rsidP="00A81DCD">
      <w:pPr>
        <w:tabs>
          <w:tab w:val="left" w:pos="-720"/>
          <w:tab w:val="left" w:pos="720"/>
        </w:tabs>
        <w:suppressAutoHyphens/>
        <w:spacing w:line="240" w:lineRule="exact"/>
        <w:jc w:val="both"/>
        <w:rPr>
          <w:sz w:val="22"/>
          <w:szCs w:val="22"/>
        </w:rPr>
      </w:pPr>
    </w:p>
    <w:p w14:paraId="1DB475B0" w14:textId="77777777" w:rsidR="00796078" w:rsidRPr="000634A4" w:rsidRDefault="005B1859" w:rsidP="00951867">
      <w:pPr>
        <w:tabs>
          <w:tab w:val="left" w:pos="-720"/>
          <w:tab w:val="left" w:pos="1080"/>
        </w:tabs>
        <w:suppressAutoHyphens/>
        <w:spacing w:line="240" w:lineRule="atLeast"/>
        <w:ind w:firstLine="720"/>
        <w:jc w:val="both"/>
        <w:rPr>
          <w:sz w:val="22"/>
          <w:szCs w:val="22"/>
        </w:rPr>
      </w:pPr>
      <w:r w:rsidRPr="000634A4">
        <w:rPr>
          <w:sz w:val="22"/>
          <w:szCs w:val="22"/>
        </w:rPr>
        <w:tab/>
      </w:r>
    </w:p>
    <w:p w14:paraId="38C831D9" w14:textId="77777777" w:rsidR="00796078" w:rsidRPr="000634A4" w:rsidRDefault="00796078" w:rsidP="00951867">
      <w:pPr>
        <w:tabs>
          <w:tab w:val="left" w:pos="-720"/>
          <w:tab w:val="left" w:pos="1080"/>
        </w:tabs>
        <w:suppressAutoHyphens/>
        <w:spacing w:line="240" w:lineRule="atLeast"/>
        <w:ind w:firstLine="720"/>
        <w:jc w:val="both"/>
        <w:rPr>
          <w:sz w:val="22"/>
          <w:szCs w:val="22"/>
        </w:rPr>
      </w:pPr>
    </w:p>
    <w:p w14:paraId="7233BF44" w14:textId="77777777" w:rsidR="00796078" w:rsidRPr="000634A4" w:rsidRDefault="00796078" w:rsidP="00951867">
      <w:pPr>
        <w:tabs>
          <w:tab w:val="left" w:pos="-720"/>
          <w:tab w:val="left" w:pos="1080"/>
        </w:tabs>
        <w:suppressAutoHyphens/>
        <w:spacing w:line="240" w:lineRule="atLeast"/>
        <w:ind w:firstLine="720"/>
        <w:jc w:val="both"/>
        <w:rPr>
          <w:sz w:val="22"/>
          <w:szCs w:val="22"/>
        </w:rPr>
      </w:pPr>
    </w:p>
    <w:p w14:paraId="3CB446B1" w14:textId="77777777" w:rsidR="00796078" w:rsidRPr="000634A4" w:rsidRDefault="00796078" w:rsidP="00951867">
      <w:pPr>
        <w:tabs>
          <w:tab w:val="left" w:pos="-720"/>
          <w:tab w:val="left" w:pos="1080"/>
        </w:tabs>
        <w:suppressAutoHyphens/>
        <w:spacing w:line="240" w:lineRule="atLeast"/>
        <w:ind w:firstLine="720"/>
        <w:jc w:val="both"/>
        <w:rPr>
          <w:sz w:val="22"/>
          <w:szCs w:val="22"/>
        </w:rPr>
      </w:pPr>
    </w:p>
    <w:p w14:paraId="1B547F2C" w14:textId="77777777" w:rsidR="00796078" w:rsidRPr="000634A4" w:rsidRDefault="00796078" w:rsidP="00951867">
      <w:pPr>
        <w:tabs>
          <w:tab w:val="left" w:pos="-720"/>
          <w:tab w:val="left" w:pos="1080"/>
        </w:tabs>
        <w:suppressAutoHyphens/>
        <w:spacing w:line="240" w:lineRule="atLeast"/>
        <w:ind w:firstLine="720"/>
        <w:jc w:val="both"/>
        <w:rPr>
          <w:sz w:val="22"/>
          <w:szCs w:val="22"/>
        </w:rPr>
      </w:pPr>
    </w:p>
    <w:p w14:paraId="6CD36F21" w14:textId="77777777" w:rsidR="00796078" w:rsidRPr="000634A4" w:rsidRDefault="00796078" w:rsidP="00951867">
      <w:pPr>
        <w:tabs>
          <w:tab w:val="left" w:pos="-720"/>
          <w:tab w:val="left" w:pos="1080"/>
        </w:tabs>
        <w:suppressAutoHyphens/>
        <w:spacing w:line="240" w:lineRule="atLeast"/>
        <w:ind w:firstLine="720"/>
        <w:jc w:val="both"/>
        <w:rPr>
          <w:sz w:val="22"/>
          <w:szCs w:val="22"/>
        </w:rPr>
      </w:pPr>
    </w:p>
    <w:p w14:paraId="44ECDF99" w14:textId="77777777" w:rsidR="00796078" w:rsidRPr="000634A4" w:rsidRDefault="00796078" w:rsidP="00951867">
      <w:pPr>
        <w:tabs>
          <w:tab w:val="left" w:pos="-720"/>
          <w:tab w:val="left" w:pos="1080"/>
        </w:tabs>
        <w:suppressAutoHyphens/>
        <w:spacing w:line="240" w:lineRule="atLeast"/>
        <w:ind w:firstLine="720"/>
        <w:jc w:val="both"/>
        <w:rPr>
          <w:sz w:val="22"/>
          <w:szCs w:val="22"/>
        </w:rPr>
      </w:pPr>
    </w:p>
    <w:p w14:paraId="56EDB600" w14:textId="32952D2A" w:rsidR="00951867" w:rsidRPr="000634A4" w:rsidRDefault="00951867" w:rsidP="00951867">
      <w:pPr>
        <w:tabs>
          <w:tab w:val="left" w:pos="-720"/>
          <w:tab w:val="left" w:pos="1080"/>
        </w:tabs>
        <w:suppressAutoHyphens/>
        <w:spacing w:line="240" w:lineRule="atLeast"/>
        <w:ind w:firstLine="720"/>
        <w:jc w:val="both"/>
        <w:rPr>
          <w:sz w:val="22"/>
          <w:szCs w:val="22"/>
        </w:rPr>
      </w:pPr>
      <w:r w:rsidRPr="000634A4">
        <w:rPr>
          <w:sz w:val="22"/>
          <w:szCs w:val="22"/>
        </w:rPr>
        <w:lastRenderedPageBreak/>
        <w:t xml:space="preserve">A summary of restricted stock </w:t>
      </w:r>
      <w:r w:rsidR="004D66D7" w:rsidRPr="000634A4">
        <w:rPr>
          <w:sz w:val="22"/>
          <w:szCs w:val="22"/>
        </w:rPr>
        <w:t xml:space="preserve">awards </w:t>
      </w:r>
      <w:r w:rsidRPr="000634A4">
        <w:rPr>
          <w:sz w:val="22"/>
          <w:szCs w:val="22"/>
        </w:rPr>
        <w:t>issued under the 2013 Plan and the 2021 Plan (collectively, the “Equity Plans”) is presented below:</w:t>
      </w:r>
    </w:p>
    <w:p w14:paraId="6F7953E6" w14:textId="77777777" w:rsidR="008239B8" w:rsidRPr="000634A4" w:rsidRDefault="008239B8" w:rsidP="00951867">
      <w:pPr>
        <w:tabs>
          <w:tab w:val="left" w:pos="-720"/>
          <w:tab w:val="left" w:pos="1080"/>
        </w:tabs>
        <w:suppressAutoHyphens/>
        <w:spacing w:line="240" w:lineRule="atLeast"/>
        <w:ind w:firstLine="720"/>
        <w:jc w:val="both"/>
        <w:rPr>
          <w:sz w:val="22"/>
          <w:szCs w:val="22"/>
        </w:rPr>
      </w:pPr>
    </w:p>
    <w:p w14:paraId="1CA596EE" w14:textId="14438EC1" w:rsidR="008239B8" w:rsidRPr="000634A4" w:rsidRDefault="00743A83" w:rsidP="009B345D">
      <w:pPr>
        <w:tabs>
          <w:tab w:val="left" w:pos="-720"/>
          <w:tab w:val="left" w:pos="1080"/>
        </w:tabs>
        <w:suppressAutoHyphens/>
        <w:spacing w:line="240" w:lineRule="atLeast"/>
        <w:jc w:val="both"/>
        <w:rPr>
          <w:sz w:val="22"/>
          <w:szCs w:val="22"/>
        </w:rPr>
      </w:pPr>
      <w:r w:rsidRPr="000634A4">
        <w:rPr>
          <w:noProof/>
          <w:lang w:eastAsia="zh-CN"/>
        </w:rPr>
        <w:drawing>
          <wp:inline distT="0" distB="0" distL="0" distR="0" wp14:anchorId="06B8EF5D" wp14:editId="4C35BBF8">
            <wp:extent cx="6183630" cy="214122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83630" cy="2141220"/>
                    </a:xfrm>
                    <a:prstGeom prst="rect">
                      <a:avLst/>
                    </a:prstGeom>
                    <a:noFill/>
                    <a:ln>
                      <a:noFill/>
                    </a:ln>
                  </pic:spPr>
                </pic:pic>
              </a:graphicData>
            </a:graphic>
          </wp:inline>
        </w:drawing>
      </w:r>
    </w:p>
    <w:p w14:paraId="260C23D5" w14:textId="69DD4F46" w:rsidR="00951867" w:rsidRPr="000634A4" w:rsidRDefault="00951867" w:rsidP="00951867">
      <w:pPr>
        <w:tabs>
          <w:tab w:val="left" w:pos="-720"/>
          <w:tab w:val="left" w:pos="1080"/>
        </w:tabs>
        <w:suppressAutoHyphens/>
        <w:spacing w:line="240" w:lineRule="atLeast"/>
        <w:ind w:firstLine="720"/>
        <w:jc w:val="both"/>
        <w:rPr>
          <w:sz w:val="22"/>
          <w:szCs w:val="22"/>
        </w:rPr>
      </w:pPr>
    </w:p>
    <w:p w14:paraId="0748109B" w14:textId="0A7BF71E" w:rsidR="00B26B65" w:rsidRPr="000634A4" w:rsidRDefault="00B26B65" w:rsidP="00B26B65">
      <w:pPr>
        <w:ind w:firstLine="720"/>
        <w:jc w:val="both"/>
        <w:rPr>
          <w:rFonts w:eastAsia="TimesNewRomanPSMT"/>
          <w:sz w:val="22"/>
          <w:szCs w:val="22"/>
        </w:rPr>
      </w:pPr>
      <w:bookmarkStart w:id="71" w:name="_Hlk101860308"/>
      <w:r w:rsidRPr="000634A4">
        <w:rPr>
          <w:rFonts w:eastAsia="TimesNewRomanPSMT"/>
          <w:sz w:val="22"/>
          <w:szCs w:val="22"/>
        </w:rPr>
        <w:t>In March 2022, the Company granted restricted stock units (“RSU”) to key executives pursuant to the Equity Plans. Each RSU has vesting conditions based on both the achievement of performance-based metrics and the continuation of employment over a defined period. The level of performance determines the number of RSUs that performance-vest, and performance vested RSUs must also time-vest in order to be fully vested. Each fully vested RSU represents the right to receive one share of the Company’s common stock or the fair market value of one share of common stock, at the Company’s discretion, and is classified as an equity award. Each RSU vests pursuant to the vesting schedule found in the respective RSU agreement. RSUs are generally subject to graduated vesting schedules and stock-based compensation expense is computed by tranche and recognized on a straight-line basis over the tranches’ applicable vesting period based on the expected achievement level. The fair value of restricted stock units is estimated on the date of grant using the Binomial option pricing model.</w:t>
      </w:r>
    </w:p>
    <w:bookmarkEnd w:id="71"/>
    <w:p w14:paraId="72B1B025" w14:textId="77777777" w:rsidR="00B26B65" w:rsidRPr="000634A4" w:rsidRDefault="00B26B65" w:rsidP="00B26B65">
      <w:pPr>
        <w:jc w:val="both"/>
        <w:rPr>
          <w:rFonts w:eastAsia="TimesNewRomanPSMT"/>
          <w:sz w:val="22"/>
          <w:szCs w:val="22"/>
        </w:rPr>
      </w:pPr>
    </w:p>
    <w:p w14:paraId="25BF713B" w14:textId="64313222" w:rsidR="00B26B65" w:rsidRPr="000634A4" w:rsidRDefault="00B26B65" w:rsidP="00B26B65">
      <w:pPr>
        <w:ind w:firstLine="720"/>
        <w:jc w:val="both"/>
        <w:rPr>
          <w:rFonts w:eastAsia="TimesNewRomanPSMT"/>
          <w:sz w:val="22"/>
          <w:szCs w:val="22"/>
        </w:rPr>
      </w:pPr>
      <w:r w:rsidRPr="000634A4">
        <w:rPr>
          <w:rFonts w:eastAsia="TimesNewRomanPSMT"/>
          <w:sz w:val="22"/>
          <w:szCs w:val="22"/>
        </w:rPr>
        <w:t>Restricted stock unit activity during the year ended December 31, 2022 was as follows:</w:t>
      </w:r>
    </w:p>
    <w:p w14:paraId="5902CD6E" w14:textId="16425B4D" w:rsidR="00A81DCD" w:rsidRPr="000634A4" w:rsidRDefault="005C791E" w:rsidP="00A81DCD">
      <w:pPr>
        <w:ind w:right="18"/>
        <w:jc w:val="center"/>
        <w:rPr>
          <w:noProof/>
          <w:sz w:val="22"/>
          <w:szCs w:val="22"/>
        </w:rPr>
      </w:pPr>
      <w:r w:rsidRPr="000634A4">
        <w:rPr>
          <w:noProof/>
          <w:sz w:val="22"/>
          <w:szCs w:val="22"/>
        </w:rPr>
        <w:t xml:space="preserve"> </w:t>
      </w:r>
      <w:r w:rsidR="006D533B" w:rsidRPr="000634A4">
        <w:rPr>
          <w:noProof/>
          <w:lang w:eastAsia="zh-CN"/>
        </w:rPr>
        <w:drawing>
          <wp:inline distT="0" distB="0" distL="0" distR="0" wp14:anchorId="20BC4C58" wp14:editId="395DADDE">
            <wp:extent cx="6183630" cy="230441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83630" cy="2304415"/>
                    </a:xfrm>
                    <a:prstGeom prst="rect">
                      <a:avLst/>
                    </a:prstGeom>
                    <a:noFill/>
                    <a:ln>
                      <a:noFill/>
                    </a:ln>
                  </pic:spPr>
                </pic:pic>
              </a:graphicData>
            </a:graphic>
          </wp:inline>
        </w:drawing>
      </w:r>
    </w:p>
    <w:p w14:paraId="2EFC5C60" w14:textId="67EFEB1A" w:rsidR="00A521EB" w:rsidRPr="000634A4" w:rsidRDefault="00A521EB" w:rsidP="00A81DCD">
      <w:pPr>
        <w:ind w:right="18"/>
        <w:jc w:val="center"/>
        <w:rPr>
          <w:noProof/>
          <w:sz w:val="22"/>
          <w:szCs w:val="22"/>
        </w:rPr>
      </w:pPr>
    </w:p>
    <w:p w14:paraId="228B6D87" w14:textId="7E6DB22D" w:rsidR="00A521EB" w:rsidRPr="000634A4" w:rsidRDefault="00102D70" w:rsidP="00A521EB">
      <w:pPr>
        <w:tabs>
          <w:tab w:val="left" w:pos="-720"/>
        </w:tabs>
        <w:suppressAutoHyphens/>
        <w:spacing w:line="240" w:lineRule="atLeast"/>
        <w:jc w:val="both"/>
        <w:rPr>
          <w:sz w:val="22"/>
          <w:szCs w:val="22"/>
        </w:rPr>
      </w:pPr>
      <w:r w:rsidRPr="000634A4">
        <w:rPr>
          <w:sz w:val="22"/>
          <w:szCs w:val="22"/>
        </w:rPr>
        <w:tab/>
      </w:r>
      <w:r w:rsidR="00A521EB" w:rsidRPr="000634A4">
        <w:rPr>
          <w:sz w:val="22"/>
          <w:szCs w:val="22"/>
        </w:rPr>
        <w:t xml:space="preserve">The compensation cost related to non-vested stock options not yet recognized as of </w:t>
      </w:r>
      <w:r w:rsidR="00443C2F" w:rsidRPr="000634A4">
        <w:rPr>
          <w:sz w:val="22"/>
          <w:szCs w:val="22"/>
        </w:rPr>
        <w:t>December 31</w:t>
      </w:r>
      <w:r w:rsidR="00A521EB" w:rsidRPr="000634A4">
        <w:rPr>
          <w:sz w:val="22"/>
          <w:szCs w:val="22"/>
        </w:rPr>
        <w:t>, 2022 totaled approximately $</w:t>
      </w:r>
      <w:r w:rsidR="00CB6E3F" w:rsidRPr="000634A4">
        <w:rPr>
          <w:sz w:val="22"/>
          <w:szCs w:val="22"/>
        </w:rPr>
        <w:t>7.4</w:t>
      </w:r>
      <w:r w:rsidR="00A521EB" w:rsidRPr="000634A4">
        <w:rPr>
          <w:sz w:val="22"/>
          <w:szCs w:val="22"/>
        </w:rPr>
        <w:t xml:space="preserve"> million. The weighted-average period over which these costs will be recognized is </w:t>
      </w:r>
      <w:r w:rsidR="00CB6E3F" w:rsidRPr="000634A4">
        <w:rPr>
          <w:sz w:val="22"/>
          <w:szCs w:val="22"/>
        </w:rPr>
        <w:t xml:space="preserve">25 </w:t>
      </w:r>
      <w:r w:rsidR="00A521EB" w:rsidRPr="000634A4">
        <w:rPr>
          <w:sz w:val="22"/>
          <w:szCs w:val="22"/>
        </w:rPr>
        <w:t>months.</w:t>
      </w:r>
    </w:p>
    <w:p w14:paraId="59F59DC5" w14:textId="77777777" w:rsidR="00A521EB" w:rsidRPr="000634A4" w:rsidRDefault="00A521EB" w:rsidP="00A521EB">
      <w:pPr>
        <w:tabs>
          <w:tab w:val="left" w:pos="-720"/>
        </w:tabs>
        <w:suppressAutoHyphens/>
        <w:spacing w:line="240" w:lineRule="atLeast"/>
        <w:jc w:val="both"/>
        <w:rPr>
          <w:sz w:val="22"/>
          <w:szCs w:val="22"/>
        </w:rPr>
      </w:pPr>
    </w:p>
    <w:p w14:paraId="3EB28494" w14:textId="1B0500A8" w:rsidR="00A521EB" w:rsidRPr="000634A4" w:rsidRDefault="00A521EB" w:rsidP="00A521EB">
      <w:pPr>
        <w:tabs>
          <w:tab w:val="left" w:pos="-720"/>
        </w:tabs>
        <w:suppressAutoHyphens/>
        <w:spacing w:line="240" w:lineRule="atLeast"/>
        <w:jc w:val="both"/>
        <w:rPr>
          <w:sz w:val="22"/>
          <w:szCs w:val="22"/>
        </w:rPr>
      </w:pPr>
      <w:r w:rsidRPr="000634A4">
        <w:rPr>
          <w:sz w:val="22"/>
          <w:szCs w:val="22"/>
        </w:rPr>
        <w:tab/>
        <w:t xml:space="preserve">During the </w:t>
      </w:r>
      <w:r w:rsidR="00CB6E3F" w:rsidRPr="000634A4">
        <w:rPr>
          <w:sz w:val="22"/>
          <w:szCs w:val="22"/>
        </w:rPr>
        <w:t xml:space="preserve">fiscal year </w:t>
      </w:r>
      <w:r w:rsidRPr="000634A4">
        <w:rPr>
          <w:sz w:val="22"/>
          <w:szCs w:val="22"/>
        </w:rPr>
        <w:t xml:space="preserve">ended </w:t>
      </w:r>
      <w:r w:rsidR="00CB6E3F" w:rsidRPr="000634A4">
        <w:rPr>
          <w:sz w:val="22"/>
          <w:szCs w:val="22"/>
        </w:rPr>
        <w:t>December 31</w:t>
      </w:r>
      <w:r w:rsidRPr="000634A4">
        <w:rPr>
          <w:sz w:val="22"/>
          <w:szCs w:val="22"/>
        </w:rPr>
        <w:t xml:space="preserve">, 2022, 700,000 performance-based restricted stock units were granted and remain non-vested at </w:t>
      </w:r>
      <w:r w:rsidR="00CB6E3F" w:rsidRPr="000634A4">
        <w:rPr>
          <w:sz w:val="22"/>
          <w:szCs w:val="22"/>
        </w:rPr>
        <w:t>December 31</w:t>
      </w:r>
      <w:r w:rsidRPr="000634A4">
        <w:rPr>
          <w:sz w:val="22"/>
          <w:szCs w:val="22"/>
        </w:rPr>
        <w:t xml:space="preserve">, 2022. Vesting of the performance-based restricted stock </w:t>
      </w:r>
      <w:r w:rsidRPr="000634A4">
        <w:rPr>
          <w:sz w:val="22"/>
          <w:szCs w:val="22"/>
        </w:rPr>
        <w:lastRenderedPageBreak/>
        <w:t xml:space="preserve">units is contingent on the achievement of certain financial performance goals and service vesting conditions. There were no restricted stock units granted during the </w:t>
      </w:r>
      <w:r w:rsidR="00CB6E3F" w:rsidRPr="000634A4">
        <w:rPr>
          <w:sz w:val="22"/>
          <w:szCs w:val="22"/>
        </w:rPr>
        <w:t xml:space="preserve">year </w:t>
      </w:r>
      <w:r w:rsidRPr="000634A4">
        <w:rPr>
          <w:sz w:val="22"/>
          <w:szCs w:val="22"/>
        </w:rPr>
        <w:t xml:space="preserve">ended </w:t>
      </w:r>
      <w:r w:rsidR="00CB6E3F" w:rsidRPr="000634A4">
        <w:rPr>
          <w:sz w:val="22"/>
          <w:szCs w:val="22"/>
        </w:rPr>
        <w:t>December 31</w:t>
      </w:r>
      <w:r w:rsidRPr="000634A4">
        <w:rPr>
          <w:sz w:val="22"/>
          <w:szCs w:val="22"/>
        </w:rPr>
        <w:t xml:space="preserve">, </w:t>
      </w:r>
      <w:r w:rsidR="00111646" w:rsidRPr="000634A4">
        <w:rPr>
          <w:sz w:val="22"/>
          <w:szCs w:val="22"/>
        </w:rPr>
        <w:t>2021</w:t>
      </w:r>
      <w:r w:rsidRPr="000634A4">
        <w:rPr>
          <w:sz w:val="22"/>
          <w:szCs w:val="22"/>
        </w:rPr>
        <w:t>.</w:t>
      </w:r>
    </w:p>
    <w:p w14:paraId="6194FED3" w14:textId="77777777" w:rsidR="00A521EB" w:rsidRPr="000634A4" w:rsidRDefault="00A521EB" w:rsidP="00A521EB">
      <w:pPr>
        <w:tabs>
          <w:tab w:val="left" w:pos="-720"/>
        </w:tabs>
        <w:suppressAutoHyphens/>
        <w:spacing w:line="240" w:lineRule="atLeast"/>
        <w:jc w:val="both"/>
        <w:rPr>
          <w:sz w:val="22"/>
          <w:szCs w:val="22"/>
        </w:rPr>
      </w:pPr>
    </w:p>
    <w:p w14:paraId="2C00D56C" w14:textId="79989CA3" w:rsidR="00A521EB" w:rsidRPr="000634A4" w:rsidRDefault="00A521EB" w:rsidP="00A521EB">
      <w:pPr>
        <w:tabs>
          <w:tab w:val="left" w:pos="-720"/>
        </w:tabs>
        <w:suppressAutoHyphens/>
        <w:spacing w:line="240" w:lineRule="atLeast"/>
        <w:jc w:val="both"/>
        <w:rPr>
          <w:sz w:val="22"/>
          <w:szCs w:val="22"/>
        </w:rPr>
      </w:pPr>
      <w:r w:rsidRPr="000634A4">
        <w:rPr>
          <w:sz w:val="22"/>
          <w:szCs w:val="22"/>
        </w:rPr>
        <w:tab/>
        <w:t xml:space="preserve">The compensation cost related to non-vested restricted stock units not yet recognized as of </w:t>
      </w:r>
      <w:r w:rsidR="00435F64" w:rsidRPr="000634A4">
        <w:rPr>
          <w:sz w:val="22"/>
          <w:szCs w:val="22"/>
        </w:rPr>
        <w:t>December 31</w:t>
      </w:r>
      <w:r w:rsidRPr="000634A4">
        <w:rPr>
          <w:sz w:val="22"/>
          <w:szCs w:val="22"/>
        </w:rPr>
        <w:t>, 2022 totaled approximately $</w:t>
      </w:r>
      <w:r w:rsidR="00554E67" w:rsidRPr="000634A4">
        <w:rPr>
          <w:sz w:val="22"/>
          <w:szCs w:val="22"/>
        </w:rPr>
        <w:t>2.9</w:t>
      </w:r>
      <w:r w:rsidR="00CB6E3F" w:rsidRPr="000634A4">
        <w:rPr>
          <w:sz w:val="22"/>
          <w:szCs w:val="22"/>
        </w:rPr>
        <w:t xml:space="preserve"> </w:t>
      </w:r>
      <w:r w:rsidRPr="000634A4">
        <w:rPr>
          <w:sz w:val="22"/>
          <w:szCs w:val="22"/>
        </w:rPr>
        <w:t xml:space="preserve">million. The weighted-average period over which these costs will be recognized is </w:t>
      </w:r>
      <w:r w:rsidR="00CB6E3F" w:rsidRPr="000634A4">
        <w:rPr>
          <w:sz w:val="22"/>
          <w:szCs w:val="22"/>
        </w:rPr>
        <w:t xml:space="preserve">19 </w:t>
      </w:r>
      <w:r w:rsidRPr="000634A4">
        <w:rPr>
          <w:sz w:val="22"/>
          <w:szCs w:val="22"/>
        </w:rPr>
        <w:t>months.</w:t>
      </w:r>
    </w:p>
    <w:p w14:paraId="2CE7D40E" w14:textId="77777777" w:rsidR="009A7826" w:rsidRPr="000634A4" w:rsidRDefault="009A7826" w:rsidP="00A81DCD">
      <w:pPr>
        <w:ind w:right="18"/>
        <w:jc w:val="center"/>
        <w:rPr>
          <w:sz w:val="22"/>
          <w:szCs w:val="22"/>
        </w:rPr>
      </w:pPr>
    </w:p>
    <w:bookmarkStart w:id="72" w:name="_MON_1389168647"/>
    <w:bookmarkStart w:id="73" w:name="_MON_1389168580"/>
    <w:bookmarkEnd w:id="72"/>
    <w:bookmarkEnd w:id="73"/>
    <w:p w14:paraId="5B8FEBCC" w14:textId="77777777" w:rsidR="00A81DCD" w:rsidRPr="000634A4" w:rsidRDefault="00A81DCD" w:rsidP="005F7716">
      <w:pPr>
        <w:pStyle w:val="ListParagraph"/>
        <w:numPr>
          <w:ilvl w:val="0"/>
          <w:numId w:val="8"/>
        </w:numPr>
        <w:tabs>
          <w:tab w:val="left" w:pos="-720"/>
        </w:tabs>
        <w:suppressAutoHyphens/>
        <w:spacing w:line="240" w:lineRule="atLeast"/>
        <w:ind w:right="90" w:hanging="720"/>
        <w:jc w:val="both"/>
        <w:rPr>
          <w:rFonts w:ascii="Times New Roman" w:hAnsi="Times New Roman"/>
          <w:b/>
        </w:rPr>
      </w:pPr>
      <w:r w:rsidRPr="000634A4">
        <w:rPr>
          <w:rFonts w:ascii="Times New Roman" w:hAnsi="Times New Roman"/>
          <w:bCs/>
          <w:spacing w:val="-2"/>
        </w:rPr>
        <w:fldChar w:fldCharType="begin"/>
      </w:r>
      <w:r w:rsidRPr="000634A4">
        <w:rPr>
          <w:rFonts w:ascii="Times New Roman" w:hAnsi="Times New Roman"/>
          <w:bCs/>
          <w:spacing w:val="-2"/>
        </w:rPr>
        <w:fldChar w:fldCharType="end"/>
      </w:r>
      <w:r w:rsidRPr="000634A4">
        <w:rPr>
          <w:rFonts w:ascii="Times New Roman" w:hAnsi="Times New Roman"/>
          <w:b/>
        </w:rPr>
        <w:t xml:space="preserve">Comprehensive loss </w:t>
      </w:r>
    </w:p>
    <w:p w14:paraId="3B55CE19" w14:textId="77777777" w:rsidR="00A81DCD" w:rsidRPr="000634A4" w:rsidRDefault="00A81DCD" w:rsidP="00A81DCD">
      <w:pPr>
        <w:ind w:left="90"/>
        <w:jc w:val="both"/>
        <w:rPr>
          <w:b/>
          <w:sz w:val="22"/>
          <w:szCs w:val="22"/>
        </w:rPr>
      </w:pPr>
    </w:p>
    <w:p w14:paraId="65D05884" w14:textId="08792949" w:rsidR="00A81DCD" w:rsidRPr="000634A4" w:rsidRDefault="00A81DCD" w:rsidP="00A81DCD">
      <w:pPr>
        <w:ind w:firstLine="720"/>
        <w:jc w:val="both"/>
        <w:rPr>
          <w:sz w:val="22"/>
          <w:szCs w:val="22"/>
        </w:rPr>
      </w:pPr>
      <w:r w:rsidRPr="000634A4">
        <w:rPr>
          <w:sz w:val="22"/>
          <w:szCs w:val="22"/>
        </w:rPr>
        <w:t xml:space="preserve">Accumulated other comprehensive loss, as reflected in the consolidated balance sheets, consists of pension liability adjustments, net of taxes, foreign currency translation adjustment and changes in fair value of derivatives, net of taxes. The components of accumulated other comprehensive loss as of December 31, </w:t>
      </w:r>
      <w:r w:rsidR="000C6C53" w:rsidRPr="000634A4">
        <w:rPr>
          <w:sz w:val="22"/>
          <w:szCs w:val="22"/>
        </w:rPr>
        <w:t xml:space="preserve">2022 </w:t>
      </w:r>
      <w:r w:rsidRPr="000634A4">
        <w:rPr>
          <w:sz w:val="22"/>
          <w:szCs w:val="22"/>
        </w:rPr>
        <w:t xml:space="preserve">and </w:t>
      </w:r>
      <w:r w:rsidR="000C6C53" w:rsidRPr="000634A4">
        <w:rPr>
          <w:sz w:val="22"/>
          <w:szCs w:val="22"/>
        </w:rPr>
        <w:t>2021</w:t>
      </w:r>
      <w:r w:rsidRPr="000634A4">
        <w:rPr>
          <w:sz w:val="22"/>
          <w:szCs w:val="22"/>
        </w:rPr>
        <w:t xml:space="preserve">, and reclassifications out of </w:t>
      </w:r>
      <w:r w:rsidR="002E7BFE" w:rsidRPr="000634A4">
        <w:rPr>
          <w:sz w:val="22"/>
          <w:szCs w:val="22"/>
        </w:rPr>
        <w:t xml:space="preserve">accumulated </w:t>
      </w:r>
      <w:r w:rsidRPr="000634A4">
        <w:rPr>
          <w:sz w:val="22"/>
          <w:szCs w:val="22"/>
        </w:rPr>
        <w:t>other comprehensive loss for the years then ended, are presented below (in thousands):</w:t>
      </w:r>
    </w:p>
    <w:p w14:paraId="3A3632DD" w14:textId="5830AB18" w:rsidR="00A81DCD" w:rsidRPr="000634A4" w:rsidRDefault="00404077" w:rsidP="00A81DCD">
      <w:pPr>
        <w:jc w:val="both"/>
        <w:rPr>
          <w:sz w:val="22"/>
          <w:szCs w:val="22"/>
        </w:rPr>
      </w:pPr>
      <w:r w:rsidRPr="000634A4">
        <w:rPr>
          <w:sz w:val="22"/>
          <w:szCs w:val="22"/>
        </w:rPr>
        <w:t xml:space="preserve"> </w:t>
      </w:r>
      <w:r w:rsidR="00E72DD6" w:rsidRPr="000634A4">
        <w:rPr>
          <w:noProof/>
          <w:lang w:eastAsia="zh-CN"/>
        </w:rPr>
        <w:drawing>
          <wp:inline distT="0" distB="0" distL="0" distR="0" wp14:anchorId="2CC1DC61" wp14:editId="365A95E0">
            <wp:extent cx="6183630" cy="35585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83630" cy="3558540"/>
                    </a:xfrm>
                    <a:prstGeom prst="rect">
                      <a:avLst/>
                    </a:prstGeom>
                    <a:noFill/>
                    <a:ln>
                      <a:noFill/>
                    </a:ln>
                  </pic:spPr>
                </pic:pic>
              </a:graphicData>
            </a:graphic>
          </wp:inline>
        </w:drawing>
      </w:r>
      <w:r w:rsidR="00A81DCD" w:rsidRPr="000634A4">
        <w:rPr>
          <w:sz w:val="22"/>
          <w:szCs w:val="22"/>
        </w:rPr>
        <w:t xml:space="preserve">   </w:t>
      </w:r>
    </w:p>
    <w:p w14:paraId="3883A4AD" w14:textId="745DBD88" w:rsidR="00C3526D" w:rsidRPr="000634A4" w:rsidRDefault="00C3526D" w:rsidP="00C3526D">
      <w:pPr>
        <w:tabs>
          <w:tab w:val="left" w:pos="720"/>
        </w:tabs>
        <w:jc w:val="both"/>
        <w:rPr>
          <w:sz w:val="22"/>
          <w:szCs w:val="22"/>
        </w:rPr>
      </w:pPr>
      <w:r w:rsidRPr="000634A4">
        <w:rPr>
          <w:sz w:val="22"/>
          <w:szCs w:val="22"/>
        </w:rPr>
        <w:tab/>
        <w:t xml:space="preserve">Taxes related to each component of other comprehensive loss were </w:t>
      </w:r>
      <w:r w:rsidR="005E1303" w:rsidRPr="000634A4">
        <w:rPr>
          <w:sz w:val="22"/>
          <w:szCs w:val="22"/>
        </w:rPr>
        <w:t xml:space="preserve">not </w:t>
      </w:r>
      <w:r w:rsidRPr="000634A4">
        <w:rPr>
          <w:sz w:val="22"/>
          <w:szCs w:val="22"/>
        </w:rPr>
        <w:t>material for the fiscal years presented</w:t>
      </w:r>
      <w:r w:rsidR="005E1303" w:rsidRPr="000634A4">
        <w:rPr>
          <w:sz w:val="22"/>
          <w:szCs w:val="22"/>
        </w:rPr>
        <w:t xml:space="preserve"> and therefore not </w:t>
      </w:r>
      <w:r w:rsidR="002718C3" w:rsidRPr="000634A4">
        <w:rPr>
          <w:sz w:val="22"/>
          <w:szCs w:val="22"/>
        </w:rPr>
        <w:t>disclosed</w:t>
      </w:r>
      <w:r w:rsidR="005E1303" w:rsidRPr="000634A4">
        <w:rPr>
          <w:sz w:val="22"/>
          <w:szCs w:val="22"/>
        </w:rPr>
        <w:t xml:space="preserve"> separately. </w:t>
      </w:r>
    </w:p>
    <w:p w14:paraId="64DF8144" w14:textId="2286016B" w:rsidR="00C3526D" w:rsidRPr="000634A4" w:rsidRDefault="00C3526D" w:rsidP="00A81DCD">
      <w:pPr>
        <w:tabs>
          <w:tab w:val="left" w:pos="720"/>
        </w:tabs>
        <w:jc w:val="both"/>
        <w:rPr>
          <w:sz w:val="22"/>
          <w:szCs w:val="22"/>
        </w:rPr>
      </w:pPr>
    </w:p>
    <w:p w14:paraId="51C4460A" w14:textId="3DE18F56" w:rsidR="00A81DCD" w:rsidRPr="000634A4" w:rsidRDefault="00C3526D" w:rsidP="00A81DCD">
      <w:pPr>
        <w:tabs>
          <w:tab w:val="left" w:pos="720"/>
        </w:tabs>
        <w:jc w:val="both"/>
        <w:rPr>
          <w:sz w:val="22"/>
          <w:szCs w:val="22"/>
        </w:rPr>
      </w:pPr>
      <w:r w:rsidRPr="000634A4">
        <w:rPr>
          <w:sz w:val="22"/>
          <w:szCs w:val="22"/>
        </w:rPr>
        <w:tab/>
      </w:r>
      <w:r w:rsidR="00A81DCD" w:rsidRPr="000634A4">
        <w:rPr>
          <w:sz w:val="22"/>
          <w:szCs w:val="22"/>
        </w:rPr>
        <w:t xml:space="preserve">All reclassifications out of accumulated other comprehensive loss had an impact on direct operating costs in the consolidated statements of operations and comprehensive loss. </w:t>
      </w:r>
    </w:p>
    <w:p w14:paraId="5E59CD54" w14:textId="3F608C16" w:rsidR="00625648" w:rsidRPr="000634A4" w:rsidRDefault="00625648" w:rsidP="00A81DCD">
      <w:pPr>
        <w:tabs>
          <w:tab w:val="left" w:pos="720"/>
        </w:tabs>
        <w:jc w:val="both"/>
        <w:rPr>
          <w:sz w:val="22"/>
          <w:szCs w:val="22"/>
        </w:rPr>
      </w:pPr>
    </w:p>
    <w:p w14:paraId="75EAF5D7" w14:textId="55CB4F74" w:rsidR="002A331A" w:rsidRPr="000634A4" w:rsidRDefault="002A331A" w:rsidP="00A81DCD">
      <w:pPr>
        <w:tabs>
          <w:tab w:val="left" w:pos="720"/>
        </w:tabs>
        <w:jc w:val="both"/>
        <w:rPr>
          <w:sz w:val="22"/>
          <w:szCs w:val="22"/>
        </w:rPr>
      </w:pPr>
    </w:p>
    <w:p w14:paraId="1CF522E9" w14:textId="77777777" w:rsidR="00C77254" w:rsidRPr="000634A4" w:rsidRDefault="00C77254" w:rsidP="005F7716">
      <w:pPr>
        <w:numPr>
          <w:ilvl w:val="0"/>
          <w:numId w:val="8"/>
        </w:numPr>
        <w:tabs>
          <w:tab w:val="left" w:pos="-720"/>
        </w:tabs>
        <w:suppressAutoHyphens/>
        <w:spacing w:line="240" w:lineRule="exact"/>
        <w:ind w:right="90" w:hanging="720"/>
        <w:jc w:val="both"/>
        <w:rPr>
          <w:b/>
          <w:bCs/>
          <w:spacing w:val="-2"/>
          <w:sz w:val="22"/>
          <w:szCs w:val="22"/>
        </w:rPr>
      </w:pPr>
      <w:bookmarkStart w:id="74" w:name="_Hlk95927827"/>
      <w:bookmarkStart w:id="75" w:name="_Hlk95837535"/>
      <w:r w:rsidRPr="000634A4">
        <w:rPr>
          <w:b/>
          <w:bCs/>
          <w:spacing w:val="-2"/>
          <w:sz w:val="22"/>
          <w:szCs w:val="22"/>
        </w:rPr>
        <w:t>Segment reporting and concentrations</w:t>
      </w:r>
    </w:p>
    <w:p w14:paraId="0349010A" w14:textId="77777777" w:rsidR="004D3D56" w:rsidRPr="000634A4" w:rsidRDefault="004D3D56" w:rsidP="004D3D56">
      <w:pPr>
        <w:tabs>
          <w:tab w:val="left" w:pos="-720"/>
        </w:tabs>
        <w:suppressAutoHyphens/>
        <w:spacing w:line="240" w:lineRule="exact"/>
        <w:ind w:right="90"/>
        <w:jc w:val="both"/>
        <w:rPr>
          <w:sz w:val="22"/>
          <w:szCs w:val="22"/>
        </w:rPr>
      </w:pPr>
      <w:bookmarkStart w:id="76" w:name="_Hlk5492030"/>
    </w:p>
    <w:p w14:paraId="462A7934" w14:textId="77777777" w:rsidR="00C164D7" w:rsidRPr="000634A4" w:rsidRDefault="00C164D7" w:rsidP="006B3FAE">
      <w:pPr>
        <w:tabs>
          <w:tab w:val="left" w:pos="-720"/>
        </w:tabs>
        <w:suppressAutoHyphens/>
        <w:spacing w:line="240" w:lineRule="exact"/>
        <w:ind w:right="90"/>
        <w:jc w:val="both"/>
        <w:rPr>
          <w:sz w:val="22"/>
          <w:szCs w:val="22"/>
        </w:rPr>
      </w:pPr>
      <w:bookmarkStart w:id="77" w:name="_Hlk95837499"/>
    </w:p>
    <w:p w14:paraId="206CC35E" w14:textId="77777777" w:rsidR="00885816" w:rsidRPr="000634A4" w:rsidRDefault="00885816" w:rsidP="00885816">
      <w:pPr>
        <w:tabs>
          <w:tab w:val="left" w:pos="-720"/>
        </w:tabs>
        <w:suppressAutoHyphens/>
        <w:spacing w:line="240" w:lineRule="atLeast"/>
        <w:jc w:val="both"/>
        <w:rPr>
          <w:sz w:val="22"/>
          <w:szCs w:val="22"/>
        </w:rPr>
      </w:pPr>
      <w:r w:rsidRPr="000634A4">
        <w:rPr>
          <w:sz w:val="22"/>
          <w:szCs w:val="22"/>
        </w:rPr>
        <w:t>The Company’s operations are classified in three reporting segments: Digital Data Solutions (DDS), Synodex and Agility.</w:t>
      </w:r>
    </w:p>
    <w:p w14:paraId="078FA0B4" w14:textId="77777777" w:rsidR="00885816" w:rsidRDefault="00885816" w:rsidP="00885816">
      <w:pPr>
        <w:pStyle w:val="NormalWeb"/>
        <w:ind w:firstLine="720"/>
        <w:jc w:val="both"/>
        <w:rPr>
          <w:bCs/>
          <w:color w:val="000000" w:themeColor="text1"/>
          <w:sz w:val="22"/>
          <w:szCs w:val="22"/>
        </w:rPr>
      </w:pPr>
      <w:r w:rsidRPr="000634A4">
        <w:rPr>
          <w:sz w:val="22"/>
          <w:szCs w:val="22"/>
        </w:rPr>
        <w:lastRenderedPageBreak/>
        <w:t xml:space="preserve">The DDS segment provides </w:t>
      </w:r>
      <w:r>
        <w:rPr>
          <w:sz w:val="22"/>
          <w:szCs w:val="22"/>
        </w:rPr>
        <w:t xml:space="preserve">AI data preparation services, </w:t>
      </w:r>
      <w:r w:rsidRPr="002A1476">
        <w:rPr>
          <w:bCs/>
          <w:color w:val="000000" w:themeColor="text1"/>
          <w:sz w:val="22"/>
          <w:szCs w:val="22"/>
        </w:rPr>
        <w:t>collect</w:t>
      </w:r>
      <w:r>
        <w:rPr>
          <w:bCs/>
          <w:color w:val="000000" w:themeColor="text1"/>
          <w:sz w:val="22"/>
          <w:szCs w:val="22"/>
        </w:rPr>
        <w:t>ing</w:t>
      </w:r>
      <w:r w:rsidRPr="002A1476">
        <w:rPr>
          <w:bCs/>
          <w:color w:val="000000" w:themeColor="text1"/>
          <w:sz w:val="22"/>
          <w:szCs w:val="22"/>
        </w:rPr>
        <w:t xml:space="preserve"> or creat</w:t>
      </w:r>
      <w:r>
        <w:rPr>
          <w:bCs/>
          <w:color w:val="000000" w:themeColor="text1"/>
          <w:sz w:val="22"/>
          <w:szCs w:val="22"/>
        </w:rPr>
        <w:t>ing</w:t>
      </w:r>
      <w:r w:rsidRPr="002A1476">
        <w:rPr>
          <w:bCs/>
          <w:color w:val="000000" w:themeColor="text1"/>
          <w:sz w:val="22"/>
          <w:szCs w:val="22"/>
        </w:rPr>
        <w:t xml:space="preserve"> training data, annotat</w:t>
      </w:r>
      <w:r>
        <w:rPr>
          <w:bCs/>
          <w:color w:val="000000" w:themeColor="text1"/>
          <w:sz w:val="22"/>
          <w:szCs w:val="22"/>
        </w:rPr>
        <w:t>ing</w:t>
      </w:r>
      <w:r w:rsidRPr="002A1476">
        <w:rPr>
          <w:bCs/>
          <w:color w:val="000000" w:themeColor="text1"/>
          <w:sz w:val="22"/>
          <w:szCs w:val="22"/>
        </w:rPr>
        <w:t xml:space="preserve"> training data, and train</w:t>
      </w:r>
      <w:r>
        <w:rPr>
          <w:bCs/>
          <w:color w:val="000000" w:themeColor="text1"/>
          <w:sz w:val="22"/>
          <w:szCs w:val="22"/>
        </w:rPr>
        <w:t xml:space="preserve">ing </w:t>
      </w:r>
      <w:r w:rsidRPr="002A1476">
        <w:rPr>
          <w:bCs/>
          <w:color w:val="000000" w:themeColor="text1"/>
          <w:sz w:val="22"/>
          <w:szCs w:val="22"/>
        </w:rPr>
        <w:t>AI algorithms</w:t>
      </w:r>
      <w:r>
        <w:rPr>
          <w:bCs/>
          <w:color w:val="000000" w:themeColor="text1"/>
          <w:sz w:val="22"/>
          <w:szCs w:val="22"/>
        </w:rPr>
        <w:t xml:space="preserve"> for its customers, and</w:t>
      </w:r>
      <w:r w:rsidRPr="002A1476">
        <w:rPr>
          <w:bCs/>
          <w:color w:val="000000" w:themeColor="text1"/>
          <w:sz w:val="22"/>
          <w:szCs w:val="22"/>
        </w:rPr>
        <w:t xml:space="preserve"> </w:t>
      </w:r>
      <w:r>
        <w:rPr>
          <w:sz w:val="22"/>
          <w:szCs w:val="22"/>
        </w:rPr>
        <w:t xml:space="preserve">AI model deployment and integration. The DDS segment also provides </w:t>
      </w:r>
      <w:r w:rsidRPr="002A1476">
        <w:rPr>
          <w:bCs/>
          <w:color w:val="000000" w:themeColor="text1"/>
          <w:sz w:val="22"/>
          <w:szCs w:val="22"/>
        </w:rPr>
        <w:t>a range of data engineering support services</w:t>
      </w:r>
      <w:r>
        <w:rPr>
          <w:bCs/>
          <w:color w:val="000000" w:themeColor="text1"/>
          <w:sz w:val="22"/>
          <w:szCs w:val="22"/>
        </w:rPr>
        <w:t xml:space="preserve"> </w:t>
      </w:r>
      <w:r w:rsidRPr="002A1476">
        <w:rPr>
          <w:bCs/>
          <w:color w:val="000000" w:themeColor="text1"/>
          <w:sz w:val="22"/>
          <w:szCs w:val="22"/>
        </w:rPr>
        <w:t>including data transformation, data curation, data hygiene, data consolidation, data extraction, data compliance, and master data management.</w:t>
      </w:r>
    </w:p>
    <w:p w14:paraId="2C14CBAB" w14:textId="77777777" w:rsidR="00885816" w:rsidRPr="008C37FC" w:rsidRDefault="00885816" w:rsidP="00885816">
      <w:pPr>
        <w:pStyle w:val="NormalWeb"/>
        <w:ind w:firstLine="720"/>
        <w:jc w:val="both"/>
        <w:rPr>
          <w:bCs/>
          <w:color w:val="000000" w:themeColor="text1"/>
          <w:sz w:val="22"/>
          <w:szCs w:val="22"/>
        </w:rPr>
      </w:pPr>
      <w:r w:rsidRPr="000634A4">
        <w:rPr>
          <w:sz w:val="22"/>
          <w:szCs w:val="22"/>
        </w:rPr>
        <w:t>The Synodex segment provides an industry platform that transforms medical records into useable digital data organized in accordance with its proprietary data models or customer data models.</w:t>
      </w:r>
    </w:p>
    <w:p w14:paraId="7F9CDC71" w14:textId="678B8FE9" w:rsidR="00885816" w:rsidRDefault="00885816" w:rsidP="00885816">
      <w:pPr>
        <w:tabs>
          <w:tab w:val="left" w:pos="-720"/>
        </w:tabs>
        <w:suppressAutoHyphens/>
        <w:spacing w:line="240" w:lineRule="atLeast"/>
        <w:jc w:val="both"/>
        <w:rPr>
          <w:sz w:val="22"/>
          <w:szCs w:val="22"/>
        </w:rPr>
      </w:pPr>
      <w:r>
        <w:rPr>
          <w:sz w:val="22"/>
          <w:szCs w:val="22"/>
        </w:rPr>
        <w:tab/>
      </w:r>
      <w:r w:rsidRPr="000634A4">
        <w:rPr>
          <w:sz w:val="22"/>
          <w:szCs w:val="22"/>
        </w:rPr>
        <w:t>The Agility segment provides an industry platform that provides marketing communications and public relations professionals with the ability to target and distribute content to journalists and social media influencers world-wide and to monitor and analyze global news channels (print, web, radio and TV) and social media channels.</w:t>
      </w:r>
    </w:p>
    <w:p w14:paraId="5D7A0175" w14:textId="77777777" w:rsidR="00B37BE8" w:rsidRDefault="00B37BE8" w:rsidP="00885816">
      <w:pPr>
        <w:tabs>
          <w:tab w:val="left" w:pos="-720"/>
        </w:tabs>
        <w:suppressAutoHyphens/>
        <w:spacing w:line="240" w:lineRule="atLeast"/>
        <w:jc w:val="both"/>
        <w:rPr>
          <w:sz w:val="22"/>
          <w:szCs w:val="22"/>
        </w:rPr>
      </w:pPr>
    </w:p>
    <w:bookmarkEnd w:id="74"/>
    <w:bookmarkEnd w:id="75"/>
    <w:bookmarkEnd w:id="77"/>
    <w:p w14:paraId="0129C115" w14:textId="5D5B320C" w:rsidR="00A81DCD" w:rsidRPr="000634A4" w:rsidRDefault="00C164D7" w:rsidP="008B086F">
      <w:pPr>
        <w:ind w:right="86"/>
        <w:jc w:val="both"/>
        <w:rPr>
          <w:sz w:val="22"/>
          <w:szCs w:val="22"/>
        </w:rPr>
      </w:pPr>
      <w:r w:rsidRPr="000634A4">
        <w:rPr>
          <w:sz w:val="22"/>
          <w:szCs w:val="22"/>
        </w:rPr>
        <w:tab/>
      </w:r>
      <w:r w:rsidR="00A81DCD" w:rsidRPr="000634A4">
        <w:rPr>
          <w:sz w:val="22"/>
          <w:szCs w:val="22"/>
        </w:rPr>
        <w:t xml:space="preserve">A significant portion of the Company’s revenues is generated from its </w:t>
      </w:r>
      <w:r w:rsidR="005C1E84" w:rsidRPr="000634A4">
        <w:rPr>
          <w:sz w:val="22"/>
          <w:szCs w:val="22"/>
        </w:rPr>
        <w:t xml:space="preserve">locations </w:t>
      </w:r>
      <w:r w:rsidR="00A81DCD" w:rsidRPr="000634A4">
        <w:rPr>
          <w:sz w:val="22"/>
          <w:szCs w:val="22"/>
        </w:rPr>
        <w:t xml:space="preserve">in the Philippines, India, Sri Lanka, Canada, Germany, the United Kingdom and Israel. </w:t>
      </w:r>
      <w:bookmarkEnd w:id="76"/>
    </w:p>
    <w:p w14:paraId="36A12FBC" w14:textId="77777777" w:rsidR="00F61C9C" w:rsidRPr="000634A4" w:rsidRDefault="00F61C9C" w:rsidP="00C2747B">
      <w:pPr>
        <w:spacing w:line="240" w:lineRule="exact"/>
        <w:ind w:right="90"/>
        <w:jc w:val="both"/>
        <w:rPr>
          <w:sz w:val="22"/>
          <w:szCs w:val="22"/>
        </w:rPr>
      </w:pPr>
    </w:p>
    <w:p w14:paraId="39E10624" w14:textId="6648135E" w:rsidR="00A81DCD" w:rsidRPr="000634A4" w:rsidRDefault="00A81DCD" w:rsidP="00A81DCD">
      <w:pPr>
        <w:ind w:firstLine="720"/>
        <w:jc w:val="both"/>
        <w:rPr>
          <w:sz w:val="22"/>
          <w:szCs w:val="22"/>
        </w:rPr>
      </w:pPr>
      <w:r w:rsidRPr="000634A4">
        <w:rPr>
          <w:sz w:val="22"/>
          <w:szCs w:val="22"/>
        </w:rPr>
        <w:t xml:space="preserve">Revenues from external </w:t>
      </w:r>
      <w:r w:rsidR="00FE2D12" w:rsidRPr="000634A4">
        <w:rPr>
          <w:sz w:val="22"/>
          <w:szCs w:val="22"/>
        </w:rPr>
        <w:t>customers</w:t>
      </w:r>
      <w:r w:rsidR="003C23C0" w:rsidRPr="000634A4">
        <w:rPr>
          <w:sz w:val="22"/>
          <w:szCs w:val="22"/>
        </w:rPr>
        <w:t xml:space="preserve">, </w:t>
      </w:r>
      <w:r w:rsidRPr="000634A4">
        <w:rPr>
          <w:sz w:val="22"/>
          <w:szCs w:val="22"/>
        </w:rPr>
        <w:t xml:space="preserve">segment operating profit (loss), and other reportable segment information </w:t>
      </w:r>
      <w:r w:rsidR="003C23C0" w:rsidRPr="000634A4">
        <w:rPr>
          <w:sz w:val="22"/>
          <w:szCs w:val="22"/>
        </w:rPr>
        <w:t>are</w:t>
      </w:r>
      <w:r w:rsidRPr="000634A4">
        <w:rPr>
          <w:sz w:val="22"/>
          <w:szCs w:val="22"/>
        </w:rPr>
        <w:t xml:space="preserve"> as follows (in thousands</w:t>
      </w:r>
      <w:r w:rsidR="00B37F11" w:rsidRPr="000634A4">
        <w:rPr>
          <w:sz w:val="22"/>
          <w:szCs w:val="22"/>
        </w:rPr>
        <w:t>):</w:t>
      </w:r>
      <w:r w:rsidRPr="000634A4">
        <w:rPr>
          <w:sz w:val="22"/>
          <w:szCs w:val="22"/>
        </w:rPr>
        <w:t xml:space="preserve"> </w:t>
      </w:r>
    </w:p>
    <w:p w14:paraId="31294724" w14:textId="1C140CE4" w:rsidR="00A81DCD" w:rsidRPr="000634A4" w:rsidRDefault="00A81DCD" w:rsidP="007B5F24">
      <w:pPr>
        <w:pStyle w:val="NormalWeb"/>
        <w:jc w:val="center"/>
        <w:rPr>
          <w:noProof/>
          <w:sz w:val="22"/>
          <w:szCs w:val="22"/>
        </w:rPr>
      </w:pPr>
      <w:r w:rsidRPr="000634A4">
        <w:rPr>
          <w:sz w:val="22"/>
          <w:szCs w:val="22"/>
        </w:rPr>
        <w:t xml:space="preserve"> </w:t>
      </w:r>
      <w:r w:rsidR="001340A8" w:rsidRPr="000634A4">
        <w:rPr>
          <w:noProof/>
          <w:sz w:val="22"/>
          <w:szCs w:val="22"/>
        </w:rPr>
        <w:t xml:space="preserve"> </w:t>
      </w:r>
      <w:r w:rsidR="00570798" w:rsidRPr="000634A4">
        <w:rPr>
          <w:noProof/>
          <w:sz w:val="22"/>
          <w:szCs w:val="22"/>
        </w:rPr>
        <w:t xml:space="preserve"> </w:t>
      </w:r>
      <w:r w:rsidR="00517B7E" w:rsidRPr="000634A4">
        <w:rPr>
          <w:noProof/>
          <w:sz w:val="22"/>
          <w:szCs w:val="22"/>
        </w:rPr>
        <w:t xml:space="preserve"> </w:t>
      </w:r>
      <w:r w:rsidR="00893112" w:rsidRPr="000634A4">
        <w:rPr>
          <w:noProof/>
          <w:sz w:val="22"/>
          <w:szCs w:val="22"/>
        </w:rPr>
        <w:t xml:space="preserve"> </w:t>
      </w:r>
      <w:r w:rsidR="004B60BD">
        <w:rPr>
          <w:noProof/>
          <w:sz w:val="22"/>
          <w:szCs w:val="22"/>
        </w:rPr>
        <w:drawing>
          <wp:inline distT="0" distB="0" distL="0" distR="0" wp14:anchorId="18F2044C" wp14:editId="4B8FB35A">
            <wp:extent cx="5730875" cy="365188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0875" cy="3651885"/>
                    </a:xfrm>
                    <a:prstGeom prst="rect">
                      <a:avLst/>
                    </a:prstGeom>
                    <a:noFill/>
                  </pic:spPr>
                </pic:pic>
              </a:graphicData>
            </a:graphic>
          </wp:inline>
        </w:drawing>
      </w:r>
    </w:p>
    <w:p w14:paraId="46CD7D01" w14:textId="6CCB552C" w:rsidR="00A81DCD" w:rsidRPr="000634A4" w:rsidRDefault="00631AAC" w:rsidP="00216AD6">
      <w:pPr>
        <w:pStyle w:val="NormalWeb"/>
        <w:spacing w:after="0" w:afterAutospacing="0"/>
        <w:jc w:val="center"/>
        <w:rPr>
          <w:spacing w:val="-2"/>
          <w:sz w:val="22"/>
          <w:szCs w:val="22"/>
        </w:rPr>
      </w:pPr>
      <w:r w:rsidRPr="000634A4">
        <w:rPr>
          <w:sz w:val="22"/>
          <w:szCs w:val="22"/>
        </w:rPr>
        <w:lastRenderedPageBreak/>
        <w:t xml:space="preserve">     </w:t>
      </w:r>
      <w:r w:rsidR="006F3B49" w:rsidRPr="000634A4">
        <w:rPr>
          <w:noProof/>
        </w:rPr>
        <w:drawing>
          <wp:inline distT="0" distB="0" distL="0" distR="0" wp14:anchorId="3A5910F7" wp14:editId="2ABD0DEC">
            <wp:extent cx="5753100" cy="27495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53100" cy="2749550"/>
                    </a:xfrm>
                    <a:prstGeom prst="rect">
                      <a:avLst/>
                    </a:prstGeom>
                    <a:noFill/>
                    <a:ln>
                      <a:noFill/>
                    </a:ln>
                  </pic:spPr>
                </pic:pic>
              </a:graphicData>
            </a:graphic>
          </wp:inline>
        </w:drawing>
      </w:r>
    </w:p>
    <w:p w14:paraId="35F08423" w14:textId="77777777" w:rsidR="00510613" w:rsidRPr="000634A4" w:rsidRDefault="00510613" w:rsidP="00510613">
      <w:pPr>
        <w:ind w:firstLine="720"/>
        <w:jc w:val="both"/>
        <w:rPr>
          <w:sz w:val="22"/>
          <w:szCs w:val="22"/>
        </w:rPr>
      </w:pPr>
      <w:r w:rsidRPr="000634A4">
        <w:rPr>
          <w:sz w:val="22"/>
          <w:szCs w:val="22"/>
        </w:rPr>
        <w:t>The table below shows intersegment revenues which are eliminated in consolidation (in thousands).</w:t>
      </w:r>
    </w:p>
    <w:p w14:paraId="6709FEC4" w14:textId="77777777" w:rsidR="00510613" w:rsidRPr="000634A4" w:rsidRDefault="00510613" w:rsidP="00510613">
      <w:pPr>
        <w:jc w:val="both"/>
      </w:pPr>
    </w:p>
    <w:p w14:paraId="62582E06" w14:textId="77A33D58" w:rsidR="00510613" w:rsidRPr="000634A4" w:rsidRDefault="00631AAC" w:rsidP="009B345D">
      <w:pPr>
        <w:jc w:val="both"/>
        <w:rPr>
          <w:spacing w:val="-2"/>
          <w:sz w:val="22"/>
          <w:szCs w:val="22"/>
        </w:rPr>
      </w:pPr>
      <w:r w:rsidRPr="000634A4">
        <w:rPr>
          <w:sz w:val="22"/>
          <w:szCs w:val="22"/>
        </w:rPr>
        <w:t xml:space="preserve">      </w:t>
      </w:r>
      <w:r w:rsidR="0010145B" w:rsidRPr="000634A4">
        <w:rPr>
          <w:sz w:val="22"/>
          <w:szCs w:val="22"/>
        </w:rPr>
        <w:t xml:space="preserve"> </w:t>
      </w:r>
      <w:r w:rsidR="00E96802" w:rsidRPr="000634A4">
        <w:rPr>
          <w:noProof/>
          <w:lang w:eastAsia="zh-CN"/>
        </w:rPr>
        <w:drawing>
          <wp:inline distT="0" distB="0" distL="0" distR="0" wp14:anchorId="5AC8B62F" wp14:editId="2F114467">
            <wp:extent cx="5753100" cy="1276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53100" cy="1276350"/>
                    </a:xfrm>
                    <a:prstGeom prst="rect">
                      <a:avLst/>
                    </a:prstGeom>
                    <a:noFill/>
                    <a:ln>
                      <a:noFill/>
                    </a:ln>
                  </pic:spPr>
                </pic:pic>
              </a:graphicData>
            </a:graphic>
          </wp:inline>
        </w:drawing>
      </w:r>
    </w:p>
    <w:p w14:paraId="54415964" w14:textId="02C70CFF" w:rsidR="00A81DCD" w:rsidRPr="000634A4" w:rsidRDefault="00D3614F" w:rsidP="00A81DCD">
      <w:pPr>
        <w:tabs>
          <w:tab w:val="left" w:pos="-720"/>
          <w:tab w:val="left" w:pos="720"/>
        </w:tabs>
        <w:suppressAutoHyphens/>
        <w:spacing w:line="240" w:lineRule="atLeast"/>
        <w:jc w:val="both"/>
        <w:rPr>
          <w:spacing w:val="-2"/>
          <w:sz w:val="22"/>
          <w:szCs w:val="22"/>
        </w:rPr>
      </w:pPr>
      <w:r w:rsidRPr="000634A4">
        <w:rPr>
          <w:spacing w:val="-2"/>
          <w:sz w:val="22"/>
          <w:szCs w:val="22"/>
        </w:rPr>
        <w:tab/>
      </w:r>
      <w:r w:rsidR="00A81DCD" w:rsidRPr="000634A4">
        <w:rPr>
          <w:spacing w:val="-2"/>
          <w:sz w:val="22"/>
          <w:szCs w:val="22"/>
        </w:rPr>
        <w:t xml:space="preserve">Long-lived assets as of December 31, </w:t>
      </w:r>
      <w:r w:rsidR="00510613" w:rsidRPr="000634A4">
        <w:rPr>
          <w:spacing w:val="-2"/>
          <w:sz w:val="22"/>
          <w:szCs w:val="22"/>
        </w:rPr>
        <w:t xml:space="preserve">2022 </w:t>
      </w:r>
      <w:r w:rsidR="00A81DCD" w:rsidRPr="000634A4">
        <w:rPr>
          <w:spacing w:val="-2"/>
          <w:sz w:val="22"/>
          <w:szCs w:val="22"/>
        </w:rPr>
        <w:t xml:space="preserve">and </w:t>
      </w:r>
      <w:r w:rsidR="00510613" w:rsidRPr="000634A4">
        <w:rPr>
          <w:spacing w:val="-2"/>
          <w:sz w:val="22"/>
          <w:szCs w:val="22"/>
        </w:rPr>
        <w:t xml:space="preserve">2021 </w:t>
      </w:r>
      <w:r w:rsidR="00A81DCD" w:rsidRPr="000634A4">
        <w:rPr>
          <w:spacing w:val="-2"/>
          <w:sz w:val="22"/>
          <w:szCs w:val="22"/>
        </w:rPr>
        <w:t xml:space="preserve">by geographic region </w:t>
      </w:r>
      <w:r w:rsidR="002E7BFE" w:rsidRPr="000634A4">
        <w:rPr>
          <w:spacing w:val="-2"/>
          <w:sz w:val="22"/>
          <w:szCs w:val="22"/>
        </w:rPr>
        <w:t xml:space="preserve">were </w:t>
      </w:r>
      <w:r w:rsidR="00A81DCD" w:rsidRPr="000634A4">
        <w:rPr>
          <w:spacing w:val="-2"/>
          <w:sz w:val="22"/>
          <w:szCs w:val="22"/>
        </w:rPr>
        <w:t>comprised of</w:t>
      </w:r>
      <w:r w:rsidR="00381F2F" w:rsidRPr="000634A4">
        <w:rPr>
          <w:spacing w:val="-2"/>
          <w:sz w:val="22"/>
          <w:szCs w:val="22"/>
        </w:rPr>
        <w:t xml:space="preserve"> (in thousands)</w:t>
      </w:r>
      <w:r w:rsidR="00A81DCD" w:rsidRPr="000634A4">
        <w:rPr>
          <w:spacing w:val="-2"/>
          <w:sz w:val="22"/>
          <w:szCs w:val="22"/>
        </w:rPr>
        <w:t>:</w:t>
      </w:r>
    </w:p>
    <w:p w14:paraId="659E43C5" w14:textId="0937D152" w:rsidR="00A81DCD" w:rsidRPr="000634A4" w:rsidRDefault="00A81DCD" w:rsidP="00A81DCD">
      <w:pPr>
        <w:tabs>
          <w:tab w:val="left" w:pos="-720"/>
        </w:tabs>
        <w:suppressAutoHyphens/>
        <w:spacing w:line="240" w:lineRule="atLeast"/>
        <w:ind w:left="360"/>
        <w:jc w:val="both"/>
        <w:rPr>
          <w:spacing w:val="-2"/>
          <w:sz w:val="22"/>
          <w:szCs w:val="22"/>
        </w:rPr>
      </w:pPr>
      <w:r w:rsidRPr="000634A4">
        <w:rPr>
          <w:spacing w:val="-2"/>
          <w:sz w:val="22"/>
          <w:szCs w:val="22"/>
        </w:rPr>
        <w:t xml:space="preserve">    </w:t>
      </w:r>
      <w:r w:rsidRPr="000634A4">
        <w:rPr>
          <w:noProof/>
          <w:sz w:val="22"/>
          <w:szCs w:val="22"/>
        </w:rPr>
        <w:t xml:space="preserve">   </w:t>
      </w:r>
      <w:r w:rsidR="009D573A" w:rsidRPr="000634A4">
        <w:rPr>
          <w:sz w:val="22"/>
          <w:szCs w:val="22"/>
        </w:rPr>
        <w:t xml:space="preserve"> </w:t>
      </w:r>
      <w:r w:rsidR="001623BB" w:rsidRPr="000634A4">
        <w:rPr>
          <w:sz w:val="22"/>
          <w:szCs w:val="22"/>
        </w:rPr>
        <w:t xml:space="preserve"> </w:t>
      </w:r>
      <w:r w:rsidR="002E0BF0" w:rsidRPr="000634A4">
        <w:rPr>
          <w:sz w:val="22"/>
          <w:szCs w:val="22"/>
        </w:rPr>
        <w:t xml:space="preserve"> </w:t>
      </w:r>
    </w:p>
    <w:p w14:paraId="039ACED6" w14:textId="3D65E52C" w:rsidR="00A81DCD" w:rsidRPr="000634A4" w:rsidRDefault="00A8141B" w:rsidP="003116E9">
      <w:pPr>
        <w:tabs>
          <w:tab w:val="left" w:pos="-720"/>
        </w:tabs>
        <w:suppressAutoHyphens/>
        <w:spacing w:line="240" w:lineRule="atLeast"/>
        <w:jc w:val="center"/>
        <w:rPr>
          <w:spacing w:val="-2"/>
          <w:sz w:val="22"/>
          <w:szCs w:val="22"/>
        </w:rPr>
      </w:pPr>
      <w:r w:rsidRPr="000634A4">
        <w:rPr>
          <w:noProof/>
          <w:lang w:eastAsia="zh-CN"/>
        </w:rPr>
        <w:drawing>
          <wp:inline distT="0" distB="0" distL="0" distR="0" wp14:anchorId="44B5AEA3" wp14:editId="5DD68741">
            <wp:extent cx="5041900" cy="25273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41900" cy="2527300"/>
                    </a:xfrm>
                    <a:prstGeom prst="rect">
                      <a:avLst/>
                    </a:prstGeom>
                    <a:noFill/>
                    <a:ln>
                      <a:noFill/>
                    </a:ln>
                  </pic:spPr>
                </pic:pic>
              </a:graphicData>
            </a:graphic>
          </wp:inline>
        </w:drawing>
      </w:r>
    </w:p>
    <w:p w14:paraId="0C247FC2" w14:textId="60A91E7B" w:rsidR="00507AAE" w:rsidRPr="000634A4" w:rsidRDefault="00507AAE" w:rsidP="009B345D">
      <w:pPr>
        <w:tabs>
          <w:tab w:val="left" w:pos="-720"/>
          <w:tab w:val="left" w:pos="720"/>
        </w:tabs>
        <w:suppressAutoHyphens/>
        <w:spacing w:line="240" w:lineRule="atLeast"/>
        <w:jc w:val="both"/>
        <w:rPr>
          <w:spacing w:val="-2"/>
          <w:sz w:val="22"/>
          <w:szCs w:val="22"/>
        </w:rPr>
      </w:pPr>
      <w:r w:rsidRPr="000634A4">
        <w:rPr>
          <w:spacing w:val="-2"/>
          <w:sz w:val="22"/>
          <w:szCs w:val="22"/>
        </w:rPr>
        <w:tab/>
        <w:t>Long-lived assets include the unamortized balance of right-of-use assets amounting to $4.</w:t>
      </w:r>
      <w:r w:rsidR="009542EF" w:rsidRPr="000634A4">
        <w:rPr>
          <w:spacing w:val="-2"/>
          <w:sz w:val="22"/>
          <w:szCs w:val="22"/>
        </w:rPr>
        <w:t>3</w:t>
      </w:r>
      <w:r w:rsidRPr="000634A4">
        <w:rPr>
          <w:spacing w:val="-2"/>
          <w:sz w:val="22"/>
          <w:szCs w:val="22"/>
        </w:rPr>
        <w:t xml:space="preserve"> million and $5.6 million as of </w:t>
      </w:r>
      <w:r w:rsidR="009542EF" w:rsidRPr="000634A4">
        <w:rPr>
          <w:spacing w:val="-2"/>
          <w:sz w:val="22"/>
          <w:szCs w:val="22"/>
        </w:rPr>
        <w:t xml:space="preserve">December </w:t>
      </w:r>
      <w:r w:rsidRPr="000634A4">
        <w:rPr>
          <w:spacing w:val="-2"/>
          <w:sz w:val="22"/>
          <w:szCs w:val="22"/>
        </w:rPr>
        <w:t>3</w:t>
      </w:r>
      <w:r w:rsidR="009542EF" w:rsidRPr="000634A4">
        <w:rPr>
          <w:spacing w:val="-2"/>
          <w:sz w:val="22"/>
          <w:szCs w:val="22"/>
        </w:rPr>
        <w:t>1</w:t>
      </w:r>
      <w:r w:rsidRPr="000634A4">
        <w:rPr>
          <w:spacing w:val="-2"/>
          <w:sz w:val="22"/>
          <w:szCs w:val="22"/>
        </w:rPr>
        <w:t>, 2022 and December 31, 2021, respectively.</w:t>
      </w:r>
    </w:p>
    <w:p w14:paraId="74727EBE" w14:textId="77777777" w:rsidR="004D42B6" w:rsidRPr="000634A4" w:rsidRDefault="004D42B6" w:rsidP="00A81DCD">
      <w:pPr>
        <w:tabs>
          <w:tab w:val="left" w:pos="-720"/>
        </w:tabs>
        <w:suppressAutoHyphens/>
        <w:spacing w:line="240" w:lineRule="atLeast"/>
        <w:jc w:val="both"/>
        <w:rPr>
          <w:spacing w:val="-2"/>
          <w:sz w:val="22"/>
          <w:szCs w:val="22"/>
        </w:rPr>
      </w:pPr>
    </w:p>
    <w:p w14:paraId="1DA17361" w14:textId="6EBE1A3D" w:rsidR="00E0754F" w:rsidRPr="000634A4" w:rsidRDefault="00A81DCD" w:rsidP="00E0754F">
      <w:pPr>
        <w:tabs>
          <w:tab w:val="left" w:pos="-720"/>
          <w:tab w:val="left" w:pos="720"/>
        </w:tabs>
        <w:suppressAutoHyphens/>
        <w:spacing w:line="240" w:lineRule="atLeast"/>
        <w:jc w:val="both"/>
        <w:rPr>
          <w:spacing w:val="-2"/>
          <w:sz w:val="22"/>
          <w:szCs w:val="22"/>
        </w:rPr>
      </w:pPr>
      <w:r w:rsidRPr="000634A4">
        <w:rPr>
          <w:bCs/>
          <w:spacing w:val="-2"/>
          <w:sz w:val="22"/>
          <w:szCs w:val="22"/>
        </w:rPr>
        <w:tab/>
      </w:r>
      <w:r w:rsidR="00E0754F" w:rsidRPr="000634A4">
        <w:rPr>
          <w:spacing w:val="-2"/>
          <w:sz w:val="22"/>
          <w:szCs w:val="22"/>
        </w:rPr>
        <w:t xml:space="preserve">One customer in the DDS segment generated approximately 11% of the Company’s total revenues in the fiscal year ended December 31, 2022. </w:t>
      </w:r>
      <w:r w:rsidR="0093648E" w:rsidRPr="000634A4">
        <w:rPr>
          <w:spacing w:val="-2"/>
          <w:sz w:val="22"/>
          <w:szCs w:val="22"/>
        </w:rPr>
        <w:t xml:space="preserve">Another </w:t>
      </w:r>
      <w:r w:rsidR="00E0754F" w:rsidRPr="000634A4">
        <w:rPr>
          <w:spacing w:val="-2"/>
          <w:sz w:val="22"/>
          <w:szCs w:val="22"/>
        </w:rPr>
        <w:t xml:space="preserve">customer </w:t>
      </w:r>
      <w:r w:rsidR="005C066B" w:rsidRPr="000634A4">
        <w:rPr>
          <w:spacing w:val="-2"/>
          <w:sz w:val="22"/>
          <w:szCs w:val="22"/>
        </w:rPr>
        <w:t xml:space="preserve">in the DDS segment </w:t>
      </w:r>
      <w:r w:rsidR="00E0754F" w:rsidRPr="000634A4">
        <w:rPr>
          <w:spacing w:val="-2"/>
          <w:sz w:val="22"/>
          <w:szCs w:val="22"/>
        </w:rPr>
        <w:t xml:space="preserve">generated approximately 11% of the Company’s total revenues in the fiscal year ended December 31, 2021. No other customer accounted for 10% or </w:t>
      </w:r>
      <w:r w:rsidR="00E0754F" w:rsidRPr="000634A4">
        <w:rPr>
          <w:spacing w:val="-2"/>
          <w:sz w:val="22"/>
          <w:szCs w:val="22"/>
        </w:rPr>
        <w:lastRenderedPageBreak/>
        <w:t>more of total revenues during these periods. Further, in the years ended December 31, 2022 and 2021, revenues from non-U.S. customers accounted for 38% and 45%, respectively, of the Company's revenues.</w:t>
      </w:r>
    </w:p>
    <w:p w14:paraId="51F1EE7A" w14:textId="1E0A2EA1" w:rsidR="00E02CEE" w:rsidRPr="000634A4" w:rsidRDefault="00A81DCD" w:rsidP="009B345D">
      <w:pPr>
        <w:tabs>
          <w:tab w:val="left" w:pos="-720"/>
          <w:tab w:val="left" w:pos="720"/>
        </w:tabs>
        <w:suppressAutoHyphens/>
        <w:spacing w:line="240" w:lineRule="atLeast"/>
        <w:jc w:val="both"/>
        <w:rPr>
          <w:spacing w:val="-2"/>
          <w:sz w:val="22"/>
          <w:szCs w:val="22"/>
        </w:rPr>
      </w:pPr>
      <w:r w:rsidRPr="000634A4">
        <w:rPr>
          <w:spacing w:val="-2"/>
          <w:sz w:val="22"/>
          <w:szCs w:val="22"/>
        </w:rPr>
        <w:t xml:space="preserve"> </w:t>
      </w:r>
      <w:r w:rsidRPr="000634A4">
        <w:rPr>
          <w:bCs/>
          <w:spacing w:val="-2"/>
          <w:sz w:val="22"/>
          <w:szCs w:val="22"/>
        </w:rPr>
        <w:tab/>
      </w:r>
    </w:p>
    <w:p w14:paraId="319A2DBC" w14:textId="0F9C32E0" w:rsidR="00A81DCD" w:rsidRPr="000634A4" w:rsidRDefault="00A81DCD" w:rsidP="00A81DCD">
      <w:pPr>
        <w:tabs>
          <w:tab w:val="left" w:pos="720"/>
        </w:tabs>
        <w:jc w:val="both"/>
        <w:rPr>
          <w:spacing w:val="-2"/>
          <w:sz w:val="22"/>
          <w:szCs w:val="22"/>
        </w:rPr>
      </w:pPr>
      <w:r w:rsidRPr="000634A4">
        <w:rPr>
          <w:spacing w:val="-2"/>
          <w:sz w:val="22"/>
          <w:szCs w:val="22"/>
        </w:rPr>
        <w:tab/>
        <w:t xml:space="preserve">Revenues for each of the two years in the period ended December 31, </w:t>
      </w:r>
      <w:r w:rsidR="00510613" w:rsidRPr="000634A4">
        <w:rPr>
          <w:spacing w:val="-2"/>
          <w:sz w:val="22"/>
          <w:szCs w:val="22"/>
        </w:rPr>
        <w:t xml:space="preserve">2022 </w:t>
      </w:r>
      <w:r w:rsidR="00964F21" w:rsidRPr="000634A4">
        <w:rPr>
          <w:spacing w:val="-2"/>
          <w:sz w:val="22"/>
          <w:szCs w:val="22"/>
        </w:rPr>
        <w:t xml:space="preserve">and </w:t>
      </w:r>
      <w:r w:rsidR="00510613" w:rsidRPr="000634A4">
        <w:rPr>
          <w:spacing w:val="-2"/>
          <w:sz w:val="22"/>
          <w:szCs w:val="22"/>
        </w:rPr>
        <w:t xml:space="preserve">2021 </w:t>
      </w:r>
      <w:r w:rsidRPr="000634A4">
        <w:rPr>
          <w:spacing w:val="-2"/>
          <w:sz w:val="22"/>
          <w:szCs w:val="22"/>
        </w:rPr>
        <w:t xml:space="preserve">by geographic region (determined based upon </w:t>
      </w:r>
      <w:r w:rsidR="00FE2D12" w:rsidRPr="000634A4">
        <w:rPr>
          <w:spacing w:val="-2"/>
          <w:sz w:val="22"/>
          <w:szCs w:val="22"/>
        </w:rPr>
        <w:t xml:space="preserve">customer </w:t>
      </w:r>
      <w:r w:rsidRPr="000634A4">
        <w:rPr>
          <w:spacing w:val="-2"/>
          <w:sz w:val="22"/>
          <w:szCs w:val="22"/>
        </w:rPr>
        <w:t xml:space="preserve">domicile), </w:t>
      </w:r>
      <w:r w:rsidR="002E7BFE" w:rsidRPr="000634A4">
        <w:rPr>
          <w:spacing w:val="-2"/>
          <w:sz w:val="22"/>
          <w:szCs w:val="22"/>
        </w:rPr>
        <w:t xml:space="preserve">were </w:t>
      </w:r>
      <w:r w:rsidRPr="000634A4">
        <w:rPr>
          <w:spacing w:val="-2"/>
          <w:sz w:val="22"/>
          <w:szCs w:val="22"/>
        </w:rPr>
        <w:t>as follows</w:t>
      </w:r>
      <w:r w:rsidR="0003196F" w:rsidRPr="000634A4">
        <w:rPr>
          <w:spacing w:val="-2"/>
          <w:sz w:val="22"/>
          <w:szCs w:val="22"/>
        </w:rPr>
        <w:t xml:space="preserve"> (in thousands)</w:t>
      </w:r>
      <w:r w:rsidRPr="000634A4">
        <w:rPr>
          <w:spacing w:val="-2"/>
          <w:sz w:val="22"/>
          <w:szCs w:val="22"/>
        </w:rPr>
        <w:t>:</w:t>
      </w:r>
    </w:p>
    <w:p w14:paraId="02D9540D" w14:textId="77777777" w:rsidR="00A81DCD" w:rsidRPr="000634A4" w:rsidRDefault="00A81DCD" w:rsidP="00A81DCD">
      <w:pPr>
        <w:tabs>
          <w:tab w:val="left" w:pos="720"/>
        </w:tabs>
        <w:jc w:val="both"/>
        <w:rPr>
          <w:spacing w:val="-2"/>
          <w:sz w:val="22"/>
          <w:szCs w:val="22"/>
        </w:rPr>
      </w:pPr>
    </w:p>
    <w:p w14:paraId="7724DE89" w14:textId="371C975C" w:rsidR="00A81DCD" w:rsidRPr="000634A4" w:rsidRDefault="009D573A" w:rsidP="007B5F24">
      <w:pPr>
        <w:tabs>
          <w:tab w:val="left" w:pos="-720"/>
        </w:tabs>
        <w:suppressAutoHyphens/>
        <w:spacing w:line="240" w:lineRule="atLeast"/>
        <w:ind w:right="18"/>
        <w:jc w:val="center"/>
        <w:rPr>
          <w:spacing w:val="-2"/>
          <w:sz w:val="22"/>
          <w:szCs w:val="22"/>
        </w:rPr>
      </w:pPr>
      <w:r w:rsidRPr="000634A4">
        <w:rPr>
          <w:sz w:val="22"/>
          <w:szCs w:val="22"/>
        </w:rPr>
        <w:t xml:space="preserve"> </w:t>
      </w:r>
      <w:r w:rsidR="006D6EEE" w:rsidRPr="000634A4">
        <w:rPr>
          <w:sz w:val="22"/>
          <w:szCs w:val="22"/>
        </w:rPr>
        <w:t xml:space="preserve"> </w:t>
      </w:r>
      <w:r w:rsidR="00DD146A" w:rsidRPr="000634A4">
        <w:rPr>
          <w:noProof/>
          <w:lang w:eastAsia="zh-CN"/>
        </w:rPr>
        <w:drawing>
          <wp:inline distT="0" distB="0" distL="0" distR="0" wp14:anchorId="716378DA" wp14:editId="008EDDBE">
            <wp:extent cx="5041900" cy="15494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041900" cy="1549400"/>
                    </a:xfrm>
                    <a:prstGeom prst="rect">
                      <a:avLst/>
                    </a:prstGeom>
                    <a:noFill/>
                    <a:ln>
                      <a:noFill/>
                    </a:ln>
                  </pic:spPr>
                </pic:pic>
              </a:graphicData>
            </a:graphic>
          </wp:inline>
        </w:drawing>
      </w:r>
      <w:r w:rsidR="00A81DCD" w:rsidRPr="000634A4">
        <w:rPr>
          <w:spacing w:val="-2"/>
          <w:sz w:val="22"/>
          <w:szCs w:val="22"/>
        </w:rPr>
        <w:fldChar w:fldCharType="begin"/>
      </w:r>
      <w:r w:rsidR="00A81DCD" w:rsidRPr="000634A4">
        <w:rPr>
          <w:spacing w:val="-2"/>
          <w:sz w:val="22"/>
          <w:szCs w:val="22"/>
        </w:rPr>
        <w:fldChar w:fldCharType="end"/>
      </w:r>
    </w:p>
    <w:p w14:paraId="474F4F55" w14:textId="182E9E2F" w:rsidR="009A7826" w:rsidRPr="000634A4" w:rsidRDefault="00A81DCD" w:rsidP="00A81DCD">
      <w:pPr>
        <w:ind w:left="90" w:firstLine="630"/>
        <w:jc w:val="both"/>
        <w:rPr>
          <w:spacing w:val="-2"/>
          <w:sz w:val="22"/>
          <w:szCs w:val="22"/>
        </w:rPr>
      </w:pPr>
      <w:r w:rsidRPr="000634A4">
        <w:rPr>
          <w:spacing w:val="-2"/>
          <w:sz w:val="22"/>
          <w:szCs w:val="22"/>
        </w:rPr>
        <w:t xml:space="preserve">As of December 31, </w:t>
      </w:r>
      <w:r w:rsidR="004B0329" w:rsidRPr="000634A4">
        <w:rPr>
          <w:spacing w:val="-2"/>
          <w:sz w:val="22"/>
          <w:szCs w:val="22"/>
        </w:rPr>
        <w:t>2022</w:t>
      </w:r>
      <w:r w:rsidRPr="000634A4">
        <w:rPr>
          <w:spacing w:val="-2"/>
          <w:sz w:val="22"/>
          <w:szCs w:val="22"/>
        </w:rPr>
        <w:t xml:space="preserve">, approximately </w:t>
      </w:r>
      <w:r w:rsidR="00326DF2" w:rsidRPr="002B2326">
        <w:rPr>
          <w:spacing w:val="-2"/>
          <w:sz w:val="22"/>
          <w:szCs w:val="22"/>
        </w:rPr>
        <w:t>44</w:t>
      </w:r>
      <w:r w:rsidRPr="002B2326">
        <w:rPr>
          <w:spacing w:val="-2"/>
          <w:sz w:val="22"/>
          <w:szCs w:val="22"/>
        </w:rPr>
        <w:t>%</w:t>
      </w:r>
      <w:r w:rsidRPr="000634A4">
        <w:rPr>
          <w:spacing w:val="-2"/>
          <w:sz w:val="22"/>
          <w:szCs w:val="22"/>
        </w:rPr>
        <w:t xml:space="preserve"> of the Company's accounts receivable was due from foreign (principally European) </w:t>
      </w:r>
      <w:r w:rsidR="00FE2D12" w:rsidRPr="000634A4">
        <w:rPr>
          <w:spacing w:val="-2"/>
          <w:sz w:val="22"/>
          <w:szCs w:val="22"/>
        </w:rPr>
        <w:t xml:space="preserve">customers </w:t>
      </w:r>
      <w:r w:rsidRPr="000634A4">
        <w:rPr>
          <w:spacing w:val="-2"/>
          <w:sz w:val="22"/>
          <w:szCs w:val="22"/>
        </w:rPr>
        <w:t xml:space="preserve">and </w:t>
      </w:r>
      <w:r w:rsidR="00EB2175" w:rsidRPr="000634A4">
        <w:rPr>
          <w:spacing w:val="-2"/>
          <w:sz w:val="22"/>
          <w:szCs w:val="22"/>
        </w:rPr>
        <w:t>4</w:t>
      </w:r>
      <w:r w:rsidR="00EB2175">
        <w:rPr>
          <w:spacing w:val="-2"/>
          <w:sz w:val="22"/>
          <w:szCs w:val="22"/>
        </w:rPr>
        <w:t>5</w:t>
      </w:r>
      <w:r w:rsidRPr="000634A4">
        <w:rPr>
          <w:spacing w:val="-2"/>
          <w:sz w:val="22"/>
          <w:szCs w:val="22"/>
        </w:rPr>
        <w:t xml:space="preserve">% of accounts receivable was due from </w:t>
      </w:r>
      <w:r w:rsidR="0050563C" w:rsidRPr="000634A4">
        <w:rPr>
          <w:spacing w:val="-2"/>
          <w:sz w:val="22"/>
          <w:szCs w:val="22"/>
        </w:rPr>
        <w:t>four</w:t>
      </w:r>
      <w:r w:rsidR="008D2C8B" w:rsidRPr="000634A4">
        <w:rPr>
          <w:spacing w:val="-2"/>
          <w:sz w:val="22"/>
          <w:szCs w:val="22"/>
        </w:rPr>
        <w:t xml:space="preserve"> </w:t>
      </w:r>
      <w:r w:rsidR="00FE2D12" w:rsidRPr="000634A4">
        <w:rPr>
          <w:spacing w:val="-2"/>
          <w:sz w:val="22"/>
          <w:szCs w:val="22"/>
        </w:rPr>
        <w:t>customers</w:t>
      </w:r>
      <w:r w:rsidRPr="000634A4">
        <w:rPr>
          <w:spacing w:val="-2"/>
          <w:sz w:val="22"/>
          <w:szCs w:val="22"/>
        </w:rPr>
        <w:t xml:space="preserve">. As of December 31, </w:t>
      </w:r>
      <w:r w:rsidR="004B0329" w:rsidRPr="000634A4">
        <w:rPr>
          <w:spacing w:val="-2"/>
          <w:sz w:val="22"/>
          <w:szCs w:val="22"/>
        </w:rPr>
        <w:t>2021</w:t>
      </w:r>
      <w:r w:rsidRPr="000634A4">
        <w:rPr>
          <w:spacing w:val="-2"/>
          <w:sz w:val="22"/>
          <w:szCs w:val="22"/>
        </w:rPr>
        <w:t xml:space="preserve">, approximately </w:t>
      </w:r>
      <w:r w:rsidR="004B0329" w:rsidRPr="000634A4">
        <w:rPr>
          <w:spacing w:val="-2"/>
          <w:sz w:val="22"/>
          <w:szCs w:val="22"/>
        </w:rPr>
        <w:t>37</w:t>
      </w:r>
      <w:r w:rsidRPr="000634A4">
        <w:rPr>
          <w:spacing w:val="-2"/>
          <w:sz w:val="22"/>
          <w:szCs w:val="22"/>
        </w:rPr>
        <w:t xml:space="preserve">% of the Company's accounts receivable was due from foreign (principally European) </w:t>
      </w:r>
      <w:r w:rsidR="00FE2D12" w:rsidRPr="000634A4">
        <w:rPr>
          <w:spacing w:val="-2"/>
          <w:sz w:val="22"/>
          <w:szCs w:val="22"/>
        </w:rPr>
        <w:t xml:space="preserve">customers </w:t>
      </w:r>
      <w:r w:rsidRPr="000634A4">
        <w:rPr>
          <w:spacing w:val="-2"/>
          <w:sz w:val="22"/>
          <w:szCs w:val="22"/>
        </w:rPr>
        <w:t xml:space="preserve">and </w:t>
      </w:r>
      <w:r w:rsidR="004B0329" w:rsidRPr="000634A4">
        <w:rPr>
          <w:spacing w:val="-2"/>
          <w:sz w:val="22"/>
          <w:szCs w:val="22"/>
        </w:rPr>
        <w:t>19</w:t>
      </w:r>
      <w:r w:rsidRPr="000634A4">
        <w:rPr>
          <w:spacing w:val="-2"/>
          <w:sz w:val="22"/>
          <w:szCs w:val="22"/>
        </w:rPr>
        <w:t xml:space="preserve">% of accounts receivable was due from </w:t>
      </w:r>
      <w:r w:rsidR="004B0329" w:rsidRPr="000634A4">
        <w:rPr>
          <w:spacing w:val="-2"/>
          <w:sz w:val="22"/>
          <w:szCs w:val="22"/>
        </w:rPr>
        <w:t xml:space="preserve">one </w:t>
      </w:r>
      <w:r w:rsidR="00FE2D12" w:rsidRPr="000634A4">
        <w:rPr>
          <w:spacing w:val="-2"/>
          <w:sz w:val="22"/>
          <w:szCs w:val="22"/>
        </w:rPr>
        <w:t>customer</w:t>
      </w:r>
      <w:r w:rsidRPr="000634A4">
        <w:rPr>
          <w:spacing w:val="-2"/>
          <w:sz w:val="22"/>
          <w:szCs w:val="22"/>
        </w:rPr>
        <w:t>.</w:t>
      </w:r>
      <w:r w:rsidRPr="000634A4" w:rsidDel="00724BA9">
        <w:rPr>
          <w:spacing w:val="-2"/>
          <w:sz w:val="22"/>
          <w:szCs w:val="22"/>
        </w:rPr>
        <w:t xml:space="preserve"> </w:t>
      </w:r>
      <w:r w:rsidRPr="000634A4">
        <w:rPr>
          <w:spacing w:val="-2"/>
          <w:sz w:val="22"/>
          <w:szCs w:val="22"/>
        </w:rPr>
        <w:t xml:space="preserve">No other </w:t>
      </w:r>
      <w:r w:rsidR="00FE2D12" w:rsidRPr="000634A4">
        <w:rPr>
          <w:spacing w:val="-2"/>
          <w:sz w:val="22"/>
          <w:szCs w:val="22"/>
        </w:rPr>
        <w:t xml:space="preserve">customer </w:t>
      </w:r>
      <w:r w:rsidRPr="000634A4">
        <w:rPr>
          <w:spacing w:val="-2"/>
          <w:sz w:val="22"/>
          <w:szCs w:val="22"/>
        </w:rPr>
        <w:t>account</w:t>
      </w:r>
      <w:r w:rsidR="002E7BFE" w:rsidRPr="000634A4">
        <w:rPr>
          <w:spacing w:val="-2"/>
          <w:sz w:val="22"/>
          <w:szCs w:val="22"/>
        </w:rPr>
        <w:t>ed</w:t>
      </w:r>
      <w:r w:rsidRPr="000634A4">
        <w:rPr>
          <w:spacing w:val="-2"/>
          <w:sz w:val="22"/>
          <w:szCs w:val="22"/>
        </w:rPr>
        <w:t xml:space="preserve"> for 10% or more of the </w:t>
      </w:r>
      <w:r w:rsidR="002E7BFE" w:rsidRPr="000634A4">
        <w:rPr>
          <w:spacing w:val="-2"/>
          <w:sz w:val="22"/>
          <w:szCs w:val="22"/>
        </w:rPr>
        <w:t xml:space="preserve">accounts </w:t>
      </w:r>
      <w:r w:rsidRPr="000634A4">
        <w:rPr>
          <w:spacing w:val="-2"/>
          <w:sz w:val="22"/>
          <w:szCs w:val="22"/>
        </w:rPr>
        <w:t xml:space="preserve">receivable as of December 31, </w:t>
      </w:r>
      <w:r w:rsidR="004B0329" w:rsidRPr="000634A4">
        <w:rPr>
          <w:spacing w:val="-2"/>
          <w:sz w:val="22"/>
          <w:szCs w:val="22"/>
        </w:rPr>
        <w:t xml:space="preserve">2022 </w:t>
      </w:r>
      <w:r w:rsidR="00A7213C" w:rsidRPr="000634A4">
        <w:rPr>
          <w:spacing w:val="-2"/>
          <w:sz w:val="22"/>
          <w:szCs w:val="22"/>
        </w:rPr>
        <w:t xml:space="preserve">and </w:t>
      </w:r>
      <w:r w:rsidR="004B0329" w:rsidRPr="000634A4">
        <w:rPr>
          <w:spacing w:val="-2"/>
          <w:sz w:val="22"/>
          <w:szCs w:val="22"/>
        </w:rPr>
        <w:t>2021</w:t>
      </w:r>
      <w:r w:rsidRPr="000634A4">
        <w:rPr>
          <w:spacing w:val="-2"/>
          <w:sz w:val="22"/>
          <w:szCs w:val="22"/>
        </w:rPr>
        <w:t>.</w:t>
      </w:r>
    </w:p>
    <w:p w14:paraId="7BDBF80F" w14:textId="77777777" w:rsidR="009A7826" w:rsidRPr="000634A4" w:rsidRDefault="009A7826" w:rsidP="00A81DCD">
      <w:pPr>
        <w:ind w:left="90" w:firstLine="630"/>
        <w:jc w:val="both"/>
        <w:rPr>
          <w:spacing w:val="-2"/>
          <w:sz w:val="22"/>
          <w:szCs w:val="22"/>
        </w:rPr>
      </w:pPr>
    </w:p>
    <w:p w14:paraId="1C5443F2" w14:textId="086A11A8" w:rsidR="00A81DCD" w:rsidRPr="000634A4" w:rsidRDefault="00A81DCD" w:rsidP="005F7716">
      <w:pPr>
        <w:numPr>
          <w:ilvl w:val="0"/>
          <w:numId w:val="8"/>
        </w:numPr>
        <w:tabs>
          <w:tab w:val="left" w:pos="-720"/>
        </w:tabs>
        <w:suppressAutoHyphens/>
        <w:spacing w:line="240" w:lineRule="atLeast"/>
        <w:ind w:right="90" w:hanging="720"/>
        <w:jc w:val="both"/>
        <w:rPr>
          <w:b/>
          <w:bCs/>
          <w:spacing w:val="-2"/>
          <w:sz w:val="22"/>
          <w:szCs w:val="22"/>
        </w:rPr>
      </w:pPr>
      <w:r w:rsidRPr="000634A4">
        <w:rPr>
          <w:b/>
          <w:bCs/>
          <w:spacing w:val="-2"/>
          <w:sz w:val="22"/>
          <w:szCs w:val="22"/>
        </w:rPr>
        <w:t>Loss per Share</w:t>
      </w:r>
    </w:p>
    <w:p w14:paraId="6E6B8594" w14:textId="7E98A125" w:rsidR="007B5F24" w:rsidRPr="000634A4" w:rsidRDefault="005C65E4" w:rsidP="005A109C">
      <w:pPr>
        <w:tabs>
          <w:tab w:val="left" w:pos="432"/>
          <w:tab w:val="left" w:pos="648"/>
          <w:tab w:val="left" w:pos="864"/>
          <w:tab w:val="left" w:pos="1080"/>
          <w:tab w:val="left" w:pos="1296"/>
          <w:tab w:val="left" w:pos="1512"/>
          <w:tab w:val="left" w:pos="1728"/>
          <w:tab w:val="left" w:pos="1944"/>
        </w:tabs>
        <w:suppressAutoHyphens/>
        <w:spacing w:line="240" w:lineRule="atLeast"/>
        <w:ind w:right="18"/>
        <w:jc w:val="center"/>
        <w:rPr>
          <w:spacing w:val="-2"/>
          <w:sz w:val="22"/>
          <w:szCs w:val="22"/>
        </w:rPr>
      </w:pPr>
      <w:r w:rsidRPr="000634A4">
        <w:rPr>
          <w:spacing w:val="-2"/>
          <w:sz w:val="22"/>
          <w:szCs w:val="22"/>
        </w:rPr>
        <w:t xml:space="preserve"> </w:t>
      </w:r>
      <w:r w:rsidR="00DB5F82" w:rsidRPr="000634A4">
        <w:rPr>
          <w:spacing w:val="-2"/>
          <w:sz w:val="22"/>
          <w:szCs w:val="22"/>
        </w:rPr>
        <w:t xml:space="preserve"> </w:t>
      </w:r>
      <w:r w:rsidR="00F26FA6" w:rsidRPr="000634A4">
        <w:rPr>
          <w:noProof/>
        </w:rPr>
        <w:drawing>
          <wp:inline distT="0" distB="0" distL="0" distR="0" wp14:anchorId="5A622F30" wp14:editId="68915022">
            <wp:extent cx="5397500" cy="18161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397500" cy="1816100"/>
                    </a:xfrm>
                    <a:prstGeom prst="rect">
                      <a:avLst/>
                    </a:prstGeom>
                    <a:noFill/>
                    <a:ln>
                      <a:noFill/>
                    </a:ln>
                  </pic:spPr>
                </pic:pic>
              </a:graphicData>
            </a:graphic>
          </wp:inline>
        </w:drawing>
      </w:r>
    </w:p>
    <w:p w14:paraId="34BE5B01" w14:textId="3B29AD77" w:rsidR="00A81DCD" w:rsidRPr="000634A4" w:rsidRDefault="00A81DCD" w:rsidP="00030967">
      <w:pPr>
        <w:tabs>
          <w:tab w:val="left" w:pos="-720"/>
          <w:tab w:val="left" w:pos="720"/>
        </w:tabs>
        <w:suppressAutoHyphens/>
        <w:spacing w:line="240" w:lineRule="atLeast"/>
        <w:ind w:right="18"/>
        <w:jc w:val="both"/>
        <w:rPr>
          <w:sz w:val="22"/>
          <w:szCs w:val="22"/>
        </w:rPr>
      </w:pPr>
      <w:r w:rsidRPr="000634A4">
        <w:rPr>
          <w:spacing w:val="-2"/>
          <w:sz w:val="22"/>
          <w:szCs w:val="22"/>
        </w:rPr>
        <w:fldChar w:fldCharType="begin"/>
      </w:r>
      <w:r w:rsidRPr="000634A4">
        <w:rPr>
          <w:spacing w:val="-2"/>
          <w:sz w:val="22"/>
          <w:szCs w:val="22"/>
        </w:rPr>
        <w:fldChar w:fldCharType="end"/>
      </w:r>
      <w:r w:rsidRPr="000634A4">
        <w:rPr>
          <w:sz w:val="22"/>
          <w:szCs w:val="22"/>
        </w:rPr>
        <w:tab/>
        <w:t>Basic</w:t>
      </w:r>
      <w:r w:rsidR="00762E3A" w:rsidRPr="000634A4">
        <w:rPr>
          <w:sz w:val="22"/>
          <w:szCs w:val="22"/>
        </w:rPr>
        <w:t xml:space="preserve"> </w:t>
      </w:r>
      <w:r w:rsidRPr="000634A4">
        <w:rPr>
          <w:sz w:val="22"/>
          <w:szCs w:val="22"/>
        </w:rPr>
        <w:t xml:space="preserve">loss per share is computed using the weighted-average number of common shares outstanding during the year. Diluted </w:t>
      </w:r>
      <w:r w:rsidR="00395183" w:rsidRPr="000634A4">
        <w:rPr>
          <w:sz w:val="22"/>
          <w:szCs w:val="22"/>
        </w:rPr>
        <w:t xml:space="preserve">income </w:t>
      </w:r>
      <w:r w:rsidRPr="000634A4">
        <w:rPr>
          <w:sz w:val="22"/>
          <w:szCs w:val="22"/>
        </w:rPr>
        <w:t>per share is computed by considering the impact of the potential issuance of common shares, using the treasury stock method, on the weighted average number of shares outstanding. For those securities that are not convertible into a class of common stock, the two-class method of computing loss per share is used.</w:t>
      </w:r>
    </w:p>
    <w:p w14:paraId="0937677F" w14:textId="77777777" w:rsidR="006D6EEE" w:rsidRPr="000634A4" w:rsidRDefault="006D6EEE" w:rsidP="00A81DCD">
      <w:pPr>
        <w:tabs>
          <w:tab w:val="left" w:pos="-720"/>
          <w:tab w:val="left" w:pos="720"/>
        </w:tabs>
        <w:suppressAutoHyphens/>
        <w:spacing w:line="240" w:lineRule="atLeast"/>
        <w:ind w:right="90"/>
        <w:jc w:val="both"/>
        <w:rPr>
          <w:sz w:val="22"/>
          <w:szCs w:val="22"/>
        </w:rPr>
      </w:pPr>
    </w:p>
    <w:p w14:paraId="00EE79B4" w14:textId="77777777" w:rsidR="00946AFA" w:rsidRPr="000634A4" w:rsidRDefault="0042281F" w:rsidP="00946AFA">
      <w:pPr>
        <w:ind w:firstLine="720"/>
        <w:jc w:val="both"/>
        <w:rPr>
          <w:sz w:val="22"/>
          <w:szCs w:val="22"/>
        </w:rPr>
      </w:pPr>
      <w:r w:rsidRPr="000634A4">
        <w:rPr>
          <w:sz w:val="22"/>
          <w:szCs w:val="22"/>
        </w:rPr>
        <w:t xml:space="preserve">Options to purchase </w:t>
      </w:r>
      <w:r w:rsidR="000D3E39" w:rsidRPr="000634A4">
        <w:rPr>
          <w:sz w:val="22"/>
          <w:szCs w:val="22"/>
        </w:rPr>
        <w:t>5.</w:t>
      </w:r>
      <w:r w:rsidR="008E4586" w:rsidRPr="000634A4">
        <w:rPr>
          <w:sz w:val="22"/>
          <w:szCs w:val="22"/>
        </w:rPr>
        <w:t>3</w:t>
      </w:r>
      <w:r w:rsidR="000D3E39" w:rsidRPr="000634A4">
        <w:rPr>
          <w:sz w:val="22"/>
          <w:szCs w:val="22"/>
        </w:rPr>
        <w:t xml:space="preserve"> </w:t>
      </w:r>
      <w:r w:rsidRPr="000634A4">
        <w:rPr>
          <w:sz w:val="22"/>
          <w:szCs w:val="22"/>
        </w:rPr>
        <w:t xml:space="preserve">million shares of common stock for the year ended December 31, </w:t>
      </w:r>
      <w:r w:rsidR="004B0329" w:rsidRPr="000634A4">
        <w:rPr>
          <w:sz w:val="22"/>
          <w:szCs w:val="22"/>
        </w:rPr>
        <w:t xml:space="preserve">2022 </w:t>
      </w:r>
      <w:r w:rsidRPr="000634A4">
        <w:rPr>
          <w:sz w:val="22"/>
          <w:szCs w:val="22"/>
        </w:rPr>
        <w:t xml:space="preserve">were outstanding but not included in the computation of diluted loss per share </w:t>
      </w:r>
      <w:r w:rsidR="00946AFA" w:rsidRPr="000634A4">
        <w:rPr>
          <w:sz w:val="22"/>
          <w:szCs w:val="22"/>
        </w:rPr>
        <w:t xml:space="preserve">because the exercise price of the options were greater than the average market price of the common shares and therefore have not been considered as potential equity shares. </w:t>
      </w:r>
    </w:p>
    <w:p w14:paraId="7ADF2B77" w14:textId="02310895" w:rsidR="00946AFA" w:rsidRPr="000634A4" w:rsidRDefault="00946AFA" w:rsidP="008A4560">
      <w:pPr>
        <w:ind w:firstLine="720"/>
        <w:jc w:val="both"/>
        <w:rPr>
          <w:sz w:val="22"/>
          <w:szCs w:val="22"/>
        </w:rPr>
      </w:pPr>
    </w:p>
    <w:p w14:paraId="0CF194CE" w14:textId="18832996" w:rsidR="008A4560" w:rsidRPr="000634A4" w:rsidRDefault="008A4560" w:rsidP="008A4560">
      <w:pPr>
        <w:ind w:firstLine="720"/>
        <w:jc w:val="both"/>
        <w:rPr>
          <w:sz w:val="22"/>
          <w:szCs w:val="22"/>
        </w:rPr>
      </w:pPr>
      <w:r w:rsidRPr="000634A4">
        <w:rPr>
          <w:sz w:val="22"/>
          <w:szCs w:val="22"/>
        </w:rPr>
        <w:t xml:space="preserve">Options to purchase </w:t>
      </w:r>
      <w:r w:rsidR="004B0329" w:rsidRPr="000634A4">
        <w:rPr>
          <w:sz w:val="22"/>
          <w:szCs w:val="22"/>
        </w:rPr>
        <w:t>5.5</w:t>
      </w:r>
      <w:r w:rsidRPr="000634A4">
        <w:rPr>
          <w:sz w:val="22"/>
          <w:szCs w:val="22"/>
        </w:rPr>
        <w:t xml:space="preserve"> million shares of common stock for the year ended December 31, </w:t>
      </w:r>
      <w:r w:rsidR="004B0329" w:rsidRPr="000634A4">
        <w:rPr>
          <w:sz w:val="22"/>
          <w:szCs w:val="22"/>
        </w:rPr>
        <w:t>2021</w:t>
      </w:r>
      <w:r w:rsidRPr="000634A4">
        <w:rPr>
          <w:sz w:val="22"/>
          <w:szCs w:val="22"/>
        </w:rPr>
        <w:t xml:space="preserve">, were outstanding but not included in the computation of diluted income per share because the exercise price of the options were greater than the average market price of the common shares and therefore have not been considered as potential equity shares. </w:t>
      </w:r>
    </w:p>
    <w:p w14:paraId="05B60CBC" w14:textId="1250F4F4" w:rsidR="00A81DCD" w:rsidRPr="000634A4" w:rsidRDefault="00A81DCD" w:rsidP="00A81DCD">
      <w:pPr>
        <w:tabs>
          <w:tab w:val="left" w:pos="-720"/>
        </w:tabs>
        <w:suppressAutoHyphens/>
        <w:spacing w:line="240" w:lineRule="atLeast"/>
        <w:ind w:right="90"/>
        <w:jc w:val="both"/>
        <w:rPr>
          <w:sz w:val="22"/>
          <w:szCs w:val="22"/>
        </w:rPr>
      </w:pPr>
    </w:p>
    <w:p w14:paraId="39A1D0ED" w14:textId="762B4383" w:rsidR="00A81DCD" w:rsidRPr="000634A4" w:rsidRDefault="00A81DCD" w:rsidP="005F7716">
      <w:pPr>
        <w:numPr>
          <w:ilvl w:val="0"/>
          <w:numId w:val="8"/>
        </w:numPr>
        <w:tabs>
          <w:tab w:val="left" w:pos="-720"/>
        </w:tabs>
        <w:suppressAutoHyphens/>
        <w:spacing w:line="240" w:lineRule="atLeast"/>
        <w:ind w:right="90" w:hanging="720"/>
        <w:jc w:val="both"/>
        <w:rPr>
          <w:b/>
          <w:bCs/>
          <w:spacing w:val="-2"/>
          <w:sz w:val="22"/>
          <w:szCs w:val="22"/>
        </w:rPr>
      </w:pPr>
      <w:r w:rsidRPr="000634A4">
        <w:rPr>
          <w:b/>
          <w:bCs/>
          <w:spacing w:val="-2"/>
          <w:sz w:val="22"/>
          <w:szCs w:val="22"/>
        </w:rPr>
        <w:t>Derivatives</w:t>
      </w:r>
    </w:p>
    <w:p w14:paraId="0FD8E0FA" w14:textId="77777777" w:rsidR="00A81DCD" w:rsidRPr="000634A4" w:rsidRDefault="00A81DCD" w:rsidP="00A81DCD">
      <w:pPr>
        <w:tabs>
          <w:tab w:val="left" w:pos="-720"/>
          <w:tab w:val="left" w:pos="450"/>
        </w:tabs>
        <w:suppressAutoHyphens/>
        <w:spacing w:line="240" w:lineRule="atLeast"/>
        <w:ind w:right="90"/>
        <w:jc w:val="both"/>
        <w:rPr>
          <w:b/>
          <w:bCs/>
          <w:spacing w:val="-2"/>
          <w:sz w:val="22"/>
          <w:szCs w:val="22"/>
        </w:rPr>
      </w:pPr>
    </w:p>
    <w:p w14:paraId="2FA48EE4" w14:textId="6D0274FA" w:rsidR="002D057C" w:rsidRPr="000634A4" w:rsidRDefault="002D057C" w:rsidP="002D057C">
      <w:pPr>
        <w:ind w:firstLine="720"/>
        <w:jc w:val="both"/>
        <w:rPr>
          <w:sz w:val="22"/>
          <w:szCs w:val="22"/>
        </w:rPr>
      </w:pPr>
      <w:r w:rsidRPr="000634A4">
        <w:rPr>
          <w:sz w:val="22"/>
          <w:szCs w:val="22"/>
        </w:rPr>
        <w:lastRenderedPageBreak/>
        <w:t xml:space="preserve">The Company conducts a large portion of its operations in international markets which subject it to foreign currency fluctuations. The most significant foreign currency exposures occur when revenue and associated accounts receivable are collected in one currency and expenses to generate that revenue are incurred in another currency. The Company is also subject to wage inflation and other government mandated increases and operating expenses in Asian countries where the Company has the majority of its operations. The Company’s primary inflation and exchange rate exposure relates to payroll, other payroll costs and operating expenses in the Philippines, India, Sri Lanka and Israel. </w:t>
      </w:r>
    </w:p>
    <w:p w14:paraId="570A87C9" w14:textId="77777777" w:rsidR="002D057C" w:rsidRPr="000634A4" w:rsidRDefault="002D057C" w:rsidP="002D057C">
      <w:pPr>
        <w:ind w:firstLine="792"/>
        <w:jc w:val="both"/>
        <w:rPr>
          <w:sz w:val="22"/>
          <w:szCs w:val="22"/>
        </w:rPr>
      </w:pPr>
    </w:p>
    <w:p w14:paraId="4A080462" w14:textId="77777777" w:rsidR="002D057C" w:rsidRPr="000634A4" w:rsidRDefault="002D057C" w:rsidP="002D057C">
      <w:pPr>
        <w:spacing w:line="240" w:lineRule="atLeast"/>
        <w:jc w:val="both"/>
        <w:rPr>
          <w:sz w:val="22"/>
          <w:szCs w:val="22"/>
        </w:rPr>
      </w:pPr>
      <w:r w:rsidRPr="000634A4">
        <w:rPr>
          <w:spacing w:val="-2"/>
          <w:sz w:val="22"/>
          <w:szCs w:val="22"/>
        </w:rPr>
        <w:t>            In addition, although most of the Company’s revenue is denominated in U.S. dollars, a significant portion of total revenues is denominated in Canadian dollars, Pound Sterling and Euros.</w:t>
      </w:r>
      <w:r w:rsidRPr="000634A4">
        <w:rPr>
          <w:sz w:val="22"/>
          <w:szCs w:val="22"/>
        </w:rPr>
        <w:t xml:space="preserve"> </w:t>
      </w:r>
    </w:p>
    <w:p w14:paraId="309CFFB1" w14:textId="209882B8" w:rsidR="002D057C" w:rsidRPr="000634A4" w:rsidRDefault="002D057C" w:rsidP="002D057C">
      <w:pPr>
        <w:rPr>
          <w:sz w:val="22"/>
          <w:szCs w:val="22"/>
        </w:rPr>
      </w:pPr>
    </w:p>
    <w:p w14:paraId="15DB9274" w14:textId="5F53C8E7" w:rsidR="00C95C70" w:rsidRPr="000634A4" w:rsidRDefault="00C95C70" w:rsidP="00BD49EC">
      <w:pPr>
        <w:ind w:firstLine="720"/>
        <w:jc w:val="both"/>
        <w:rPr>
          <w:sz w:val="22"/>
          <w:szCs w:val="22"/>
        </w:rPr>
      </w:pPr>
      <w:r w:rsidRPr="000634A4">
        <w:rPr>
          <w:sz w:val="22"/>
          <w:szCs w:val="22"/>
          <w:shd w:val="clear" w:color="auto" w:fill="FFFFFF"/>
        </w:rPr>
        <w:t>The Company’s policy is to enter derivative instrument contracts with terms that coincide with the underlying exposure being hedged for a period up to 12 months. As such, the Company’s derivative instruments are expected to be highly effective. For derivative instruments that are designated and qualify as cash flow hedges, the entire change in fair value of the hedging instrument is recorded to Other comprehensive income (loss). Upon settlement of these contracts, the change in the fair value recorded in Other comprehensive income (loss) are reclassified to earnings and included as part of Direct operating costs</w:t>
      </w:r>
      <w:r w:rsidRPr="000634A4">
        <w:rPr>
          <w:sz w:val="22"/>
          <w:szCs w:val="22"/>
        </w:rPr>
        <w:t>. For derivative instruments that are not designated as hedges, any change in fair value is recorded directly in earnings as part of Direct operating costs.</w:t>
      </w:r>
    </w:p>
    <w:p w14:paraId="79EFF5C1" w14:textId="77777777" w:rsidR="00C95C70" w:rsidRPr="000634A4" w:rsidRDefault="00C95C70" w:rsidP="002D057C">
      <w:pPr>
        <w:rPr>
          <w:sz w:val="22"/>
          <w:szCs w:val="22"/>
        </w:rPr>
      </w:pPr>
    </w:p>
    <w:p w14:paraId="794846C2" w14:textId="0FEB48EC" w:rsidR="004303E3" w:rsidRPr="000634A4" w:rsidRDefault="00C95C70" w:rsidP="004303E3">
      <w:pPr>
        <w:spacing w:line="240" w:lineRule="atLeast"/>
        <w:jc w:val="both"/>
        <w:rPr>
          <w:spacing w:val="-2"/>
          <w:sz w:val="22"/>
          <w:szCs w:val="22"/>
        </w:rPr>
      </w:pPr>
      <w:r w:rsidRPr="000634A4">
        <w:rPr>
          <w:sz w:val="22"/>
          <w:szCs w:val="22"/>
          <w:shd w:val="clear" w:color="auto" w:fill="FFFFFF"/>
        </w:rPr>
        <w:tab/>
      </w:r>
      <w:r w:rsidR="004365C0" w:rsidRPr="000634A4">
        <w:rPr>
          <w:spacing w:val="-2"/>
          <w:sz w:val="22"/>
          <w:szCs w:val="22"/>
        </w:rPr>
        <w:t>The Company formally documents all relationships between hedging instruments and hedged items, as well as its risk management objective and strategy for undertaking hedge transactions.</w:t>
      </w:r>
      <w:r w:rsidR="000D3E39" w:rsidRPr="000634A4">
        <w:rPr>
          <w:spacing w:val="-2"/>
          <w:sz w:val="22"/>
          <w:szCs w:val="22"/>
        </w:rPr>
        <w:t xml:space="preserve"> </w:t>
      </w:r>
      <w:r w:rsidR="004365C0" w:rsidRPr="000634A4">
        <w:rPr>
          <w:spacing w:val="-2"/>
          <w:sz w:val="22"/>
          <w:szCs w:val="22"/>
        </w:rPr>
        <w:t xml:space="preserve">The Company does not hold or issue derivatives for trading purposes.  All derivatives are recognized at their fair value and classified based on the instrument’s maturity date. The total notional amount for outstanding derivatives designated as hedges was </w:t>
      </w:r>
      <w:r w:rsidR="004303E3" w:rsidRPr="000634A4">
        <w:rPr>
          <w:spacing w:val="-2"/>
          <w:sz w:val="22"/>
          <w:szCs w:val="22"/>
        </w:rPr>
        <w:t>$</w:t>
      </w:r>
      <w:r w:rsidR="00790FDC" w:rsidRPr="000634A4">
        <w:rPr>
          <w:spacing w:val="-2"/>
          <w:sz w:val="22"/>
          <w:szCs w:val="22"/>
        </w:rPr>
        <w:t xml:space="preserve">14.2 </w:t>
      </w:r>
      <w:r w:rsidR="004365C0" w:rsidRPr="000634A4">
        <w:rPr>
          <w:spacing w:val="-2"/>
          <w:sz w:val="22"/>
          <w:szCs w:val="22"/>
        </w:rPr>
        <w:t xml:space="preserve">million as of December 31, </w:t>
      </w:r>
      <w:r w:rsidR="004B0329" w:rsidRPr="000634A4">
        <w:rPr>
          <w:spacing w:val="-2"/>
          <w:sz w:val="22"/>
          <w:szCs w:val="22"/>
        </w:rPr>
        <w:t>2022</w:t>
      </w:r>
      <w:r w:rsidR="004365C0" w:rsidRPr="000634A4">
        <w:rPr>
          <w:spacing w:val="-2"/>
          <w:sz w:val="22"/>
          <w:szCs w:val="22"/>
        </w:rPr>
        <w:t>.</w:t>
      </w:r>
      <w:r w:rsidR="004303E3" w:rsidRPr="000634A4">
        <w:rPr>
          <w:spacing w:val="-2"/>
          <w:sz w:val="22"/>
          <w:szCs w:val="22"/>
        </w:rPr>
        <w:t xml:space="preserve"> </w:t>
      </w:r>
    </w:p>
    <w:p w14:paraId="5FF7AD38" w14:textId="5088DC10" w:rsidR="00444CDD" w:rsidRPr="000634A4" w:rsidRDefault="004365C0" w:rsidP="00674396">
      <w:pPr>
        <w:spacing w:line="240" w:lineRule="atLeast"/>
        <w:jc w:val="both"/>
        <w:rPr>
          <w:sz w:val="22"/>
          <w:szCs w:val="22"/>
        </w:rPr>
      </w:pPr>
      <w:r w:rsidRPr="000634A4">
        <w:rPr>
          <w:sz w:val="22"/>
          <w:szCs w:val="22"/>
        </w:rPr>
        <w:t xml:space="preserve"> </w:t>
      </w:r>
      <w:r w:rsidR="002D057C" w:rsidRPr="000634A4">
        <w:rPr>
          <w:spacing w:val="-2"/>
          <w:sz w:val="22"/>
          <w:szCs w:val="22"/>
        </w:rPr>
        <w:t>           </w:t>
      </w:r>
    </w:p>
    <w:p w14:paraId="3FE39D56" w14:textId="1DE873FA" w:rsidR="00A81DCD" w:rsidRPr="000634A4" w:rsidRDefault="002D057C" w:rsidP="0043141D">
      <w:pPr>
        <w:tabs>
          <w:tab w:val="left" w:pos="-720"/>
        </w:tabs>
        <w:suppressAutoHyphens/>
        <w:spacing w:line="240" w:lineRule="atLeast"/>
        <w:jc w:val="both"/>
        <w:rPr>
          <w:sz w:val="22"/>
          <w:szCs w:val="22"/>
        </w:rPr>
      </w:pPr>
      <w:r w:rsidRPr="000634A4">
        <w:rPr>
          <w:sz w:val="22"/>
          <w:szCs w:val="22"/>
        </w:rPr>
        <w:tab/>
      </w:r>
      <w:r w:rsidR="00A81DCD" w:rsidRPr="000634A4">
        <w:rPr>
          <w:sz w:val="22"/>
          <w:szCs w:val="22"/>
        </w:rPr>
        <w:t>The following table presents the fair value of derivative instruments</w:t>
      </w:r>
      <w:r w:rsidR="00EA50C2" w:rsidRPr="000634A4">
        <w:rPr>
          <w:sz w:val="22"/>
          <w:szCs w:val="22"/>
        </w:rPr>
        <w:t xml:space="preserve"> </w:t>
      </w:r>
      <w:r w:rsidR="00A81DCD" w:rsidRPr="000634A4">
        <w:rPr>
          <w:sz w:val="22"/>
          <w:szCs w:val="22"/>
        </w:rPr>
        <w:t xml:space="preserve">included within the consolidated balance sheets as of December 31, </w:t>
      </w:r>
      <w:r w:rsidR="004B0329" w:rsidRPr="000634A4">
        <w:rPr>
          <w:sz w:val="22"/>
          <w:szCs w:val="22"/>
        </w:rPr>
        <w:t xml:space="preserve">2022 </w:t>
      </w:r>
      <w:r w:rsidR="00A81DCD" w:rsidRPr="000634A4">
        <w:rPr>
          <w:sz w:val="22"/>
          <w:szCs w:val="22"/>
        </w:rPr>
        <w:t xml:space="preserve">and </w:t>
      </w:r>
      <w:r w:rsidR="004B0329" w:rsidRPr="000634A4">
        <w:rPr>
          <w:sz w:val="22"/>
          <w:szCs w:val="22"/>
        </w:rPr>
        <w:t xml:space="preserve">2021 </w:t>
      </w:r>
      <w:r w:rsidR="00A81DCD" w:rsidRPr="000634A4">
        <w:rPr>
          <w:sz w:val="22"/>
          <w:szCs w:val="22"/>
        </w:rPr>
        <w:t>(in thousands):</w:t>
      </w:r>
    </w:p>
    <w:p w14:paraId="1A17D49F" w14:textId="50594666" w:rsidR="00A81DCD" w:rsidRPr="000634A4" w:rsidRDefault="00A81DCD" w:rsidP="00A81DCD">
      <w:pPr>
        <w:tabs>
          <w:tab w:val="left" w:pos="-720"/>
        </w:tabs>
        <w:suppressAutoHyphens/>
        <w:spacing w:line="240" w:lineRule="atLeast"/>
        <w:ind w:right="90"/>
        <w:jc w:val="both"/>
        <w:rPr>
          <w:sz w:val="22"/>
          <w:szCs w:val="22"/>
        </w:rPr>
      </w:pPr>
      <w:r w:rsidRPr="000634A4">
        <w:rPr>
          <w:sz w:val="22"/>
          <w:szCs w:val="22"/>
        </w:rPr>
        <w:t xml:space="preserve">  </w:t>
      </w:r>
      <w:r w:rsidR="001623BB" w:rsidRPr="000634A4">
        <w:rPr>
          <w:sz w:val="22"/>
          <w:szCs w:val="22"/>
        </w:rPr>
        <w:t xml:space="preserve"> </w:t>
      </w:r>
      <w:r w:rsidR="0042281F" w:rsidRPr="000634A4">
        <w:rPr>
          <w:sz w:val="22"/>
          <w:szCs w:val="22"/>
        </w:rPr>
        <w:t xml:space="preserve"> </w:t>
      </w:r>
      <w:r w:rsidR="00DD146A" w:rsidRPr="000634A4">
        <w:rPr>
          <w:noProof/>
          <w:lang w:eastAsia="zh-CN"/>
        </w:rPr>
        <w:drawing>
          <wp:inline distT="0" distB="0" distL="0" distR="0" wp14:anchorId="6ADB192B" wp14:editId="4178C923">
            <wp:extent cx="6183630" cy="106489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83630" cy="1064895"/>
                    </a:xfrm>
                    <a:prstGeom prst="rect">
                      <a:avLst/>
                    </a:prstGeom>
                    <a:noFill/>
                    <a:ln>
                      <a:noFill/>
                    </a:ln>
                  </pic:spPr>
                </pic:pic>
              </a:graphicData>
            </a:graphic>
          </wp:inline>
        </w:drawing>
      </w:r>
      <w:r w:rsidRPr="000634A4">
        <w:rPr>
          <w:sz w:val="22"/>
          <w:szCs w:val="22"/>
        </w:rPr>
        <w:t xml:space="preserve">         </w:t>
      </w:r>
    </w:p>
    <w:p w14:paraId="1F448C37" w14:textId="15B72209" w:rsidR="00A81DCD" w:rsidRPr="000634A4" w:rsidRDefault="00A81DCD" w:rsidP="005E5EAD">
      <w:pPr>
        <w:spacing w:line="240" w:lineRule="atLeast"/>
        <w:ind w:firstLine="720"/>
        <w:jc w:val="both"/>
        <w:rPr>
          <w:sz w:val="22"/>
          <w:szCs w:val="22"/>
        </w:rPr>
      </w:pPr>
      <w:r w:rsidRPr="000634A4">
        <w:rPr>
          <w:sz w:val="22"/>
          <w:szCs w:val="22"/>
        </w:rPr>
        <w:t xml:space="preserve">The effect of foreign currency forward contracts designated as cash flow hedges on the consolidated statements of operations for the years ended December 31, </w:t>
      </w:r>
      <w:r w:rsidR="00E96E86" w:rsidRPr="000634A4">
        <w:rPr>
          <w:sz w:val="22"/>
          <w:szCs w:val="22"/>
        </w:rPr>
        <w:t xml:space="preserve">2022 </w:t>
      </w:r>
      <w:r w:rsidRPr="000634A4">
        <w:rPr>
          <w:sz w:val="22"/>
          <w:szCs w:val="22"/>
        </w:rPr>
        <w:t xml:space="preserve">and </w:t>
      </w:r>
      <w:r w:rsidR="00E96E86" w:rsidRPr="000634A4">
        <w:rPr>
          <w:sz w:val="22"/>
          <w:szCs w:val="22"/>
        </w:rPr>
        <w:t xml:space="preserve">2021 </w:t>
      </w:r>
      <w:r w:rsidRPr="000634A4">
        <w:rPr>
          <w:sz w:val="22"/>
          <w:szCs w:val="22"/>
        </w:rPr>
        <w:t>were as follows (in thousands):</w:t>
      </w:r>
    </w:p>
    <w:p w14:paraId="7E9D3B65" w14:textId="77777777" w:rsidR="003220A7" w:rsidRPr="000634A4" w:rsidRDefault="003220A7" w:rsidP="00030967">
      <w:pPr>
        <w:tabs>
          <w:tab w:val="left" w:pos="4320"/>
        </w:tabs>
        <w:spacing w:line="240" w:lineRule="exact"/>
        <w:ind w:firstLine="720"/>
        <w:jc w:val="both"/>
        <w:rPr>
          <w:sz w:val="22"/>
          <w:szCs w:val="22"/>
        </w:rPr>
      </w:pPr>
    </w:p>
    <w:p w14:paraId="78CCFEBF" w14:textId="19642765" w:rsidR="004B0C38" w:rsidRPr="000634A4" w:rsidRDefault="008C6CEA" w:rsidP="005A109C">
      <w:pPr>
        <w:tabs>
          <w:tab w:val="left" w:pos="-720"/>
          <w:tab w:val="left" w:pos="450"/>
        </w:tabs>
        <w:suppressAutoHyphens/>
        <w:spacing w:line="240" w:lineRule="atLeast"/>
        <w:ind w:left="360" w:right="18"/>
        <w:rPr>
          <w:sz w:val="22"/>
          <w:szCs w:val="22"/>
        </w:rPr>
      </w:pPr>
      <w:r w:rsidRPr="000634A4">
        <w:rPr>
          <w:noProof/>
          <w:lang w:eastAsia="zh-CN"/>
        </w:rPr>
        <w:drawing>
          <wp:inline distT="0" distB="0" distL="0" distR="0" wp14:anchorId="29E019C1" wp14:editId="41F93E7C">
            <wp:extent cx="5803900" cy="19367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803900" cy="1936750"/>
                    </a:xfrm>
                    <a:prstGeom prst="rect">
                      <a:avLst/>
                    </a:prstGeom>
                    <a:noFill/>
                    <a:ln>
                      <a:noFill/>
                    </a:ln>
                  </pic:spPr>
                </pic:pic>
              </a:graphicData>
            </a:graphic>
          </wp:inline>
        </w:drawing>
      </w:r>
    </w:p>
    <w:p w14:paraId="7283A602" w14:textId="77777777" w:rsidR="004B0C38" w:rsidRPr="000634A4" w:rsidRDefault="004B0C38" w:rsidP="005A109C">
      <w:pPr>
        <w:tabs>
          <w:tab w:val="left" w:pos="-720"/>
          <w:tab w:val="left" w:pos="450"/>
        </w:tabs>
        <w:suppressAutoHyphens/>
        <w:spacing w:line="240" w:lineRule="atLeast"/>
        <w:ind w:left="360" w:right="18"/>
        <w:rPr>
          <w:sz w:val="22"/>
          <w:szCs w:val="22"/>
        </w:rPr>
      </w:pPr>
    </w:p>
    <w:p w14:paraId="7FA75351" w14:textId="67EAB3FE" w:rsidR="004B0C38" w:rsidRPr="000634A4" w:rsidRDefault="004B0C38" w:rsidP="009B345D">
      <w:pPr>
        <w:numPr>
          <w:ilvl w:val="0"/>
          <w:numId w:val="8"/>
        </w:numPr>
        <w:tabs>
          <w:tab w:val="left" w:pos="-720"/>
        </w:tabs>
        <w:suppressAutoHyphens/>
        <w:spacing w:line="240" w:lineRule="atLeast"/>
        <w:ind w:right="90" w:hanging="720"/>
        <w:jc w:val="both"/>
        <w:rPr>
          <w:b/>
          <w:bCs/>
        </w:rPr>
      </w:pPr>
      <w:r w:rsidRPr="000634A4">
        <w:rPr>
          <w:b/>
          <w:bCs/>
          <w:spacing w:val="-2"/>
          <w:sz w:val="22"/>
          <w:szCs w:val="22"/>
        </w:rPr>
        <w:lastRenderedPageBreak/>
        <w:t>Redemption of non-controlling interest</w:t>
      </w:r>
    </w:p>
    <w:p w14:paraId="51344263" w14:textId="77777777" w:rsidR="004B0C38" w:rsidRPr="000634A4" w:rsidRDefault="004B0C38" w:rsidP="004B0C38">
      <w:pPr>
        <w:rPr>
          <w:sz w:val="22"/>
          <w:szCs w:val="22"/>
        </w:rPr>
      </w:pPr>
    </w:p>
    <w:p w14:paraId="5CE3A276" w14:textId="43EC298E" w:rsidR="004B0C38" w:rsidRPr="000634A4" w:rsidRDefault="004B0C38" w:rsidP="004B0C38">
      <w:pPr>
        <w:ind w:firstLine="720"/>
        <w:jc w:val="both"/>
        <w:rPr>
          <w:sz w:val="22"/>
          <w:szCs w:val="22"/>
        </w:rPr>
      </w:pPr>
      <w:r w:rsidRPr="000634A4">
        <w:rPr>
          <w:sz w:val="22"/>
          <w:szCs w:val="22"/>
        </w:rPr>
        <w:t>The Consolidated Balance Sheets for the year ended December 31, 2022 includes a $2.9 million charge against additional paid-in-capital representing the carrying value of the non-controlling interest in Innodata Synodex, LLC which was redeemed by the Company on March 31, 2022. The Company accounted for the transaction in accordance with ASC Topic 810, “Consolidation,” which discusses the proper accounting treatment of the carrying value for the non-controlling interest. Under the standard, any change in ownership that does not result in a loss of control must be accounted for as an equity transaction.</w:t>
      </w:r>
    </w:p>
    <w:p w14:paraId="7580EF5F" w14:textId="1FDCBE77" w:rsidR="00F36960" w:rsidRPr="000634A4" w:rsidRDefault="00A81DCD" w:rsidP="005A109C">
      <w:pPr>
        <w:tabs>
          <w:tab w:val="left" w:pos="-720"/>
          <w:tab w:val="left" w:pos="450"/>
        </w:tabs>
        <w:suppressAutoHyphens/>
        <w:spacing w:line="240" w:lineRule="atLeast"/>
        <w:ind w:left="360" w:right="18"/>
        <w:rPr>
          <w:b/>
          <w:bCs/>
          <w:spacing w:val="-2"/>
          <w:sz w:val="22"/>
          <w:szCs w:val="22"/>
        </w:rPr>
      </w:pPr>
      <w:r w:rsidRPr="000634A4">
        <w:rPr>
          <w:sz w:val="22"/>
          <w:szCs w:val="22"/>
        </w:rPr>
        <w:t xml:space="preserve"> </w:t>
      </w:r>
      <w:r w:rsidR="001623BB" w:rsidRPr="000634A4">
        <w:rPr>
          <w:sz w:val="22"/>
          <w:szCs w:val="22"/>
        </w:rPr>
        <w:t xml:space="preserve"> </w:t>
      </w:r>
    </w:p>
    <w:p w14:paraId="56187348" w14:textId="77777777" w:rsidR="002C4686" w:rsidRPr="000634A4" w:rsidRDefault="002C4686" w:rsidP="00F36960">
      <w:pPr>
        <w:tabs>
          <w:tab w:val="left" w:pos="-720"/>
          <w:tab w:val="left" w:pos="720"/>
        </w:tabs>
        <w:jc w:val="center"/>
        <w:rPr>
          <w:sz w:val="22"/>
          <w:szCs w:val="22"/>
        </w:rPr>
      </w:pPr>
    </w:p>
    <w:p w14:paraId="23034F22" w14:textId="30A094D1" w:rsidR="001D5CE5" w:rsidRPr="000634A4" w:rsidRDefault="001D5CE5" w:rsidP="009B345D">
      <w:pPr>
        <w:numPr>
          <w:ilvl w:val="0"/>
          <w:numId w:val="8"/>
        </w:numPr>
        <w:tabs>
          <w:tab w:val="left" w:pos="-720"/>
        </w:tabs>
        <w:suppressAutoHyphens/>
        <w:spacing w:line="240" w:lineRule="atLeast"/>
        <w:ind w:right="90" w:hanging="720"/>
        <w:jc w:val="both"/>
        <w:rPr>
          <w:b/>
          <w:spacing w:val="-2"/>
        </w:rPr>
      </w:pPr>
      <w:r w:rsidRPr="000634A4">
        <w:rPr>
          <w:b/>
          <w:bCs/>
          <w:spacing w:val="-2"/>
          <w:sz w:val="22"/>
          <w:szCs w:val="22"/>
        </w:rPr>
        <w:t>Short Term Investments – other</w:t>
      </w:r>
    </w:p>
    <w:p w14:paraId="5A607204" w14:textId="77777777" w:rsidR="00C1492C" w:rsidRPr="000634A4" w:rsidRDefault="00C1492C" w:rsidP="00C1492C">
      <w:pPr>
        <w:ind w:firstLine="720"/>
        <w:jc w:val="both"/>
        <w:rPr>
          <w:b/>
          <w:bCs/>
        </w:rPr>
      </w:pPr>
    </w:p>
    <w:p w14:paraId="4CDE8FED" w14:textId="2005D72F" w:rsidR="00DF2CD4" w:rsidRPr="000634A4" w:rsidRDefault="00DF2CD4" w:rsidP="00C1492C">
      <w:pPr>
        <w:ind w:firstLine="720"/>
        <w:jc w:val="both"/>
        <w:rPr>
          <w:b/>
          <w:bCs/>
        </w:rPr>
      </w:pPr>
      <w:r w:rsidRPr="000634A4">
        <w:rPr>
          <w:sz w:val="22"/>
          <w:szCs w:val="22"/>
        </w:rPr>
        <w:t xml:space="preserve">The </w:t>
      </w:r>
      <w:r w:rsidR="00AC3524" w:rsidRPr="000634A4">
        <w:rPr>
          <w:sz w:val="22"/>
          <w:szCs w:val="22"/>
        </w:rPr>
        <w:t>Short-term</w:t>
      </w:r>
      <w:r w:rsidRPr="000634A4">
        <w:rPr>
          <w:sz w:val="22"/>
          <w:szCs w:val="22"/>
        </w:rPr>
        <w:t xml:space="preserve"> investments includes investment made by the Company in treasury bills and certificate of deposits which are considered as highly liquid investments.</w:t>
      </w:r>
    </w:p>
    <w:p w14:paraId="64A7A104" w14:textId="77777777" w:rsidR="00B836D4" w:rsidRPr="000634A4" w:rsidRDefault="00B836D4" w:rsidP="00C1492C">
      <w:pPr>
        <w:ind w:firstLine="720"/>
        <w:jc w:val="both"/>
        <w:rPr>
          <w:b/>
          <w:bCs/>
        </w:rPr>
      </w:pPr>
    </w:p>
    <w:p w14:paraId="6FDBFD81" w14:textId="3C654812" w:rsidR="003C5EB8" w:rsidRPr="000634A4" w:rsidRDefault="00C63ECC" w:rsidP="009B345D">
      <w:pPr>
        <w:pStyle w:val="ListParagraph"/>
        <w:tabs>
          <w:tab w:val="left" w:pos="-720"/>
          <w:tab w:val="left" w:pos="720"/>
        </w:tabs>
        <w:ind w:left="360"/>
        <w:jc w:val="center"/>
        <w:sectPr w:rsidR="003C5EB8" w:rsidRPr="000634A4" w:rsidSect="002C4686">
          <w:headerReference w:type="default" r:id="rId72"/>
          <w:footerReference w:type="default" r:id="rId73"/>
          <w:footerReference w:type="first" r:id="rId74"/>
          <w:pgSz w:w="12240" w:h="15840" w:code="1"/>
          <w:pgMar w:top="1152" w:right="1350" w:bottom="1152" w:left="1152" w:header="432" w:footer="432" w:gutter="0"/>
          <w:cols w:space="720"/>
          <w:docGrid w:linePitch="360"/>
        </w:sectPr>
      </w:pPr>
      <w:r w:rsidRPr="000634A4">
        <w:rPr>
          <w:noProof/>
          <w:lang w:eastAsia="zh-CN"/>
        </w:rPr>
        <w:drawing>
          <wp:inline distT="0" distB="0" distL="0" distR="0" wp14:anchorId="61018FA0" wp14:editId="31C06166">
            <wp:extent cx="3924300" cy="14414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24300" cy="1441450"/>
                    </a:xfrm>
                    <a:prstGeom prst="rect">
                      <a:avLst/>
                    </a:prstGeom>
                    <a:noFill/>
                    <a:ln>
                      <a:noFill/>
                    </a:ln>
                  </pic:spPr>
                </pic:pic>
              </a:graphicData>
            </a:graphic>
          </wp:inline>
        </w:drawing>
      </w:r>
    </w:p>
    <w:p w14:paraId="2DA86F3B" w14:textId="77777777" w:rsidR="000445F4" w:rsidRPr="000634A4" w:rsidRDefault="00F0453B" w:rsidP="009B3910">
      <w:pPr>
        <w:tabs>
          <w:tab w:val="left" w:pos="-720"/>
          <w:tab w:val="left" w:pos="720"/>
        </w:tabs>
        <w:jc w:val="center"/>
        <w:rPr>
          <w:sz w:val="22"/>
          <w:szCs w:val="22"/>
        </w:rPr>
      </w:pPr>
      <w:r w:rsidRPr="000634A4">
        <w:rPr>
          <w:b/>
          <w:sz w:val="22"/>
          <w:szCs w:val="22"/>
          <w:u w:val="single"/>
        </w:rPr>
        <w:lastRenderedPageBreak/>
        <w:t>Exhibit Index</w:t>
      </w:r>
    </w:p>
    <w:p w14:paraId="31BFED7F" w14:textId="77777777" w:rsidR="00D46CC7" w:rsidRPr="000634A4" w:rsidRDefault="00D46CC7" w:rsidP="000445F4">
      <w:pPr>
        <w:tabs>
          <w:tab w:val="left" w:pos="2755"/>
        </w:tabs>
        <w:rPr>
          <w:sz w:val="22"/>
          <w:szCs w:val="22"/>
        </w:rPr>
      </w:pPr>
      <w:bookmarkStart w:id="78" w:name="_Hlk32410040"/>
      <w:bookmarkStart w:id="79" w:name="_Hlk32412487"/>
    </w:p>
    <w:p w14:paraId="2B06EA6B" w14:textId="77777777" w:rsidR="000445F4" w:rsidRPr="000634A4" w:rsidRDefault="000445F4" w:rsidP="000445F4">
      <w:pPr>
        <w:tabs>
          <w:tab w:val="left" w:pos="2755"/>
        </w:tabs>
        <w:rPr>
          <w:sz w:val="22"/>
          <w:szCs w:val="22"/>
        </w:rPr>
      </w:pPr>
      <w:r w:rsidRPr="000634A4">
        <w:rPr>
          <w:sz w:val="22"/>
          <w:szCs w:val="22"/>
        </w:rPr>
        <w:t>Exhibits which are indicated as being included in previous filings are incorporated herein by reference</w:t>
      </w:r>
      <w:r w:rsidR="00B37F11" w:rsidRPr="000634A4">
        <w:rPr>
          <w:sz w:val="22"/>
          <w:szCs w:val="22"/>
        </w:rPr>
        <w:t xml:space="preserve">. </w:t>
      </w:r>
    </w:p>
    <w:p w14:paraId="435BD713" w14:textId="77777777" w:rsidR="000445F4" w:rsidRPr="000634A4" w:rsidRDefault="000445F4" w:rsidP="000445F4">
      <w:pPr>
        <w:tabs>
          <w:tab w:val="left" w:pos="-720"/>
        </w:tabs>
        <w:rPr>
          <w:sz w:val="22"/>
          <w:szCs w:val="22"/>
        </w:rPr>
      </w:pPr>
    </w:p>
    <w:tbl>
      <w:tblPr>
        <w:tblW w:w="10809" w:type="dxa"/>
        <w:tblLayout w:type="fixed"/>
        <w:tblCellMar>
          <w:left w:w="30" w:type="dxa"/>
          <w:right w:w="30" w:type="dxa"/>
        </w:tblCellMar>
        <w:tblLook w:val="0000" w:firstRow="0" w:lastRow="0" w:firstColumn="0" w:lastColumn="0" w:noHBand="0" w:noVBand="0"/>
      </w:tblPr>
      <w:tblGrid>
        <w:gridCol w:w="884"/>
        <w:gridCol w:w="4515"/>
        <w:gridCol w:w="5396"/>
        <w:gridCol w:w="14"/>
      </w:tblGrid>
      <w:tr w:rsidR="00284F34" w:rsidRPr="000634A4" w14:paraId="62C62420" w14:textId="77777777" w:rsidTr="00220137">
        <w:trPr>
          <w:trHeight w:val="174"/>
        </w:trPr>
        <w:tc>
          <w:tcPr>
            <w:tcW w:w="884" w:type="dxa"/>
          </w:tcPr>
          <w:p w14:paraId="3556C354" w14:textId="77777777" w:rsidR="000445F4" w:rsidRPr="000634A4" w:rsidRDefault="000445F4" w:rsidP="00D03196">
            <w:pPr>
              <w:rPr>
                <w:b/>
                <w:snapToGrid w:val="0"/>
                <w:sz w:val="22"/>
                <w:szCs w:val="22"/>
                <w:u w:val="single"/>
              </w:rPr>
            </w:pPr>
            <w:r w:rsidRPr="000634A4">
              <w:rPr>
                <w:b/>
                <w:snapToGrid w:val="0"/>
                <w:sz w:val="22"/>
                <w:szCs w:val="22"/>
                <w:u w:val="single"/>
              </w:rPr>
              <w:t>Exhibit</w:t>
            </w:r>
          </w:p>
        </w:tc>
        <w:tc>
          <w:tcPr>
            <w:tcW w:w="4515" w:type="dxa"/>
          </w:tcPr>
          <w:p w14:paraId="5C9035AC" w14:textId="77777777" w:rsidR="000445F4" w:rsidRPr="000634A4" w:rsidRDefault="000445F4" w:rsidP="00D03196">
            <w:pPr>
              <w:rPr>
                <w:b/>
                <w:snapToGrid w:val="0"/>
                <w:sz w:val="22"/>
                <w:szCs w:val="22"/>
                <w:u w:val="single"/>
              </w:rPr>
            </w:pPr>
            <w:r w:rsidRPr="000634A4">
              <w:rPr>
                <w:b/>
                <w:snapToGrid w:val="0"/>
                <w:sz w:val="22"/>
                <w:szCs w:val="22"/>
                <w:u w:val="single"/>
              </w:rPr>
              <w:t>Description</w:t>
            </w:r>
          </w:p>
        </w:tc>
        <w:tc>
          <w:tcPr>
            <w:tcW w:w="5410" w:type="dxa"/>
            <w:gridSpan w:val="2"/>
          </w:tcPr>
          <w:p w14:paraId="2367DE41" w14:textId="77777777" w:rsidR="000445F4" w:rsidRPr="000634A4" w:rsidRDefault="000445F4" w:rsidP="00D03196">
            <w:pPr>
              <w:rPr>
                <w:b/>
                <w:snapToGrid w:val="0"/>
                <w:sz w:val="22"/>
                <w:szCs w:val="22"/>
                <w:u w:val="single"/>
              </w:rPr>
            </w:pPr>
            <w:r w:rsidRPr="000634A4">
              <w:rPr>
                <w:b/>
                <w:snapToGrid w:val="0"/>
                <w:sz w:val="22"/>
                <w:szCs w:val="22"/>
                <w:u w:val="single"/>
              </w:rPr>
              <w:t>Filed as Exhibit</w:t>
            </w:r>
          </w:p>
        </w:tc>
      </w:tr>
      <w:tr w:rsidR="00284F34" w:rsidRPr="000634A4" w14:paraId="0F3DE2B7" w14:textId="77777777" w:rsidTr="00220137">
        <w:trPr>
          <w:trHeight w:hRule="exact" w:val="71"/>
        </w:trPr>
        <w:tc>
          <w:tcPr>
            <w:tcW w:w="884" w:type="dxa"/>
          </w:tcPr>
          <w:p w14:paraId="05D7B306" w14:textId="77777777" w:rsidR="00B55309" w:rsidRPr="000634A4" w:rsidRDefault="00B55309" w:rsidP="00A75BEA">
            <w:pPr>
              <w:rPr>
                <w:snapToGrid w:val="0"/>
                <w:sz w:val="22"/>
                <w:szCs w:val="22"/>
              </w:rPr>
            </w:pPr>
          </w:p>
        </w:tc>
        <w:tc>
          <w:tcPr>
            <w:tcW w:w="4515" w:type="dxa"/>
          </w:tcPr>
          <w:p w14:paraId="3EFB945E" w14:textId="77777777" w:rsidR="00B55309" w:rsidRPr="000634A4" w:rsidRDefault="00B55309" w:rsidP="00A75BEA">
            <w:pPr>
              <w:rPr>
                <w:snapToGrid w:val="0"/>
                <w:sz w:val="22"/>
                <w:szCs w:val="22"/>
              </w:rPr>
            </w:pPr>
          </w:p>
        </w:tc>
        <w:tc>
          <w:tcPr>
            <w:tcW w:w="5410" w:type="dxa"/>
            <w:gridSpan w:val="2"/>
          </w:tcPr>
          <w:p w14:paraId="5477B3E9" w14:textId="77777777" w:rsidR="00B55309" w:rsidRPr="000634A4" w:rsidRDefault="00B55309" w:rsidP="00A75BEA">
            <w:pPr>
              <w:jc w:val="right"/>
              <w:rPr>
                <w:snapToGrid w:val="0"/>
                <w:sz w:val="22"/>
                <w:szCs w:val="22"/>
              </w:rPr>
            </w:pPr>
          </w:p>
        </w:tc>
      </w:tr>
      <w:tr w:rsidR="00284F34" w:rsidRPr="000634A4" w14:paraId="42EB1F52" w14:textId="77777777" w:rsidTr="00220137">
        <w:trPr>
          <w:trHeight w:val="174"/>
        </w:trPr>
        <w:tc>
          <w:tcPr>
            <w:tcW w:w="884" w:type="dxa"/>
          </w:tcPr>
          <w:p w14:paraId="542F3DA0" w14:textId="77777777" w:rsidR="00F0453B" w:rsidRPr="000634A4" w:rsidRDefault="00F0453B" w:rsidP="00F0453B">
            <w:pPr>
              <w:rPr>
                <w:snapToGrid w:val="0"/>
                <w:sz w:val="22"/>
                <w:szCs w:val="22"/>
              </w:rPr>
            </w:pPr>
            <w:r w:rsidRPr="000634A4">
              <w:rPr>
                <w:snapToGrid w:val="0"/>
                <w:sz w:val="22"/>
                <w:szCs w:val="22"/>
              </w:rPr>
              <w:t>3.1 (a)</w:t>
            </w:r>
          </w:p>
        </w:tc>
        <w:tc>
          <w:tcPr>
            <w:tcW w:w="4515" w:type="dxa"/>
          </w:tcPr>
          <w:p w14:paraId="335C1757" w14:textId="77777777" w:rsidR="00F0453B" w:rsidRPr="000634A4" w:rsidRDefault="00F0453B" w:rsidP="00F0453B">
            <w:pPr>
              <w:rPr>
                <w:snapToGrid w:val="0"/>
                <w:sz w:val="22"/>
                <w:szCs w:val="22"/>
              </w:rPr>
            </w:pPr>
            <w:r w:rsidRPr="000634A4">
              <w:rPr>
                <w:snapToGrid w:val="0"/>
                <w:sz w:val="22"/>
                <w:szCs w:val="22"/>
              </w:rPr>
              <w:t xml:space="preserve">Restated Certificate of Incorporation dated </w:t>
            </w:r>
          </w:p>
        </w:tc>
        <w:tc>
          <w:tcPr>
            <w:tcW w:w="5410" w:type="dxa"/>
            <w:gridSpan w:val="2"/>
          </w:tcPr>
          <w:p w14:paraId="6EF833E1" w14:textId="77777777" w:rsidR="00F0453B" w:rsidRPr="000634A4" w:rsidRDefault="00F0453B" w:rsidP="00F0453B">
            <w:pPr>
              <w:rPr>
                <w:snapToGrid w:val="0"/>
                <w:sz w:val="22"/>
                <w:szCs w:val="22"/>
              </w:rPr>
            </w:pPr>
            <w:r w:rsidRPr="000634A4">
              <w:rPr>
                <w:snapToGrid w:val="0"/>
                <w:sz w:val="22"/>
                <w:szCs w:val="22"/>
              </w:rPr>
              <w:t xml:space="preserve">Filed as Exhibit 3.1(a) to our Form 10-K for the year ended </w:t>
            </w:r>
          </w:p>
        </w:tc>
      </w:tr>
      <w:tr w:rsidR="00284F34" w:rsidRPr="000634A4" w14:paraId="6D7EF303" w14:textId="77777777" w:rsidTr="00220137">
        <w:trPr>
          <w:trHeight w:val="174"/>
        </w:trPr>
        <w:tc>
          <w:tcPr>
            <w:tcW w:w="884" w:type="dxa"/>
          </w:tcPr>
          <w:p w14:paraId="511D6BDF" w14:textId="77777777" w:rsidR="00F0453B" w:rsidRPr="000634A4" w:rsidRDefault="00F0453B" w:rsidP="00F0453B">
            <w:pPr>
              <w:rPr>
                <w:snapToGrid w:val="0"/>
                <w:sz w:val="22"/>
                <w:szCs w:val="22"/>
              </w:rPr>
            </w:pPr>
          </w:p>
        </w:tc>
        <w:tc>
          <w:tcPr>
            <w:tcW w:w="4515" w:type="dxa"/>
          </w:tcPr>
          <w:p w14:paraId="70C0371B" w14:textId="77777777" w:rsidR="00F0453B" w:rsidRPr="000634A4" w:rsidRDefault="00F0453B" w:rsidP="00F0453B">
            <w:pPr>
              <w:rPr>
                <w:snapToGrid w:val="0"/>
                <w:sz w:val="22"/>
                <w:szCs w:val="22"/>
              </w:rPr>
            </w:pPr>
            <w:r w:rsidRPr="000634A4">
              <w:rPr>
                <w:snapToGrid w:val="0"/>
                <w:sz w:val="22"/>
                <w:szCs w:val="22"/>
              </w:rPr>
              <w:t>April 27, 1993</w:t>
            </w:r>
          </w:p>
        </w:tc>
        <w:tc>
          <w:tcPr>
            <w:tcW w:w="5410" w:type="dxa"/>
            <w:gridSpan w:val="2"/>
          </w:tcPr>
          <w:p w14:paraId="190EF2A2" w14:textId="68894E0E" w:rsidR="00F0453B" w:rsidRPr="000634A4" w:rsidRDefault="00F0453B" w:rsidP="00F0453B">
            <w:pPr>
              <w:rPr>
                <w:snapToGrid w:val="0"/>
                <w:sz w:val="22"/>
                <w:szCs w:val="22"/>
              </w:rPr>
            </w:pPr>
            <w:r w:rsidRPr="000634A4">
              <w:rPr>
                <w:snapToGrid w:val="0"/>
                <w:sz w:val="22"/>
                <w:szCs w:val="22"/>
              </w:rPr>
              <w:t>December 31, 2</w:t>
            </w:r>
            <w:r w:rsidRPr="000634A4">
              <w:rPr>
                <w:snapToGrid w:val="0"/>
                <w:sz w:val="18"/>
              </w:rPr>
              <w:t>003</w:t>
            </w:r>
          </w:p>
        </w:tc>
      </w:tr>
      <w:tr w:rsidR="00284F34" w:rsidRPr="000634A4" w14:paraId="16FC3B62" w14:textId="77777777" w:rsidTr="00220137">
        <w:trPr>
          <w:trHeight w:hRule="exact" w:val="71"/>
        </w:trPr>
        <w:tc>
          <w:tcPr>
            <w:tcW w:w="884" w:type="dxa"/>
          </w:tcPr>
          <w:p w14:paraId="3A3DA2D7" w14:textId="77777777" w:rsidR="00F0453B" w:rsidRPr="000634A4" w:rsidRDefault="00F0453B" w:rsidP="00F0453B">
            <w:pPr>
              <w:rPr>
                <w:snapToGrid w:val="0"/>
                <w:sz w:val="22"/>
                <w:szCs w:val="22"/>
              </w:rPr>
            </w:pPr>
          </w:p>
        </w:tc>
        <w:tc>
          <w:tcPr>
            <w:tcW w:w="4515" w:type="dxa"/>
          </w:tcPr>
          <w:p w14:paraId="699CE98B" w14:textId="77777777" w:rsidR="00F0453B" w:rsidRPr="000634A4" w:rsidRDefault="00F0453B" w:rsidP="00F0453B">
            <w:pPr>
              <w:jc w:val="right"/>
              <w:rPr>
                <w:snapToGrid w:val="0"/>
                <w:sz w:val="22"/>
                <w:szCs w:val="22"/>
              </w:rPr>
            </w:pPr>
          </w:p>
        </w:tc>
        <w:tc>
          <w:tcPr>
            <w:tcW w:w="5410" w:type="dxa"/>
            <w:gridSpan w:val="2"/>
          </w:tcPr>
          <w:p w14:paraId="43B878B9" w14:textId="77777777" w:rsidR="00F0453B" w:rsidRPr="000634A4" w:rsidRDefault="00F0453B" w:rsidP="00F0453B">
            <w:pPr>
              <w:jc w:val="right"/>
              <w:rPr>
                <w:snapToGrid w:val="0"/>
                <w:sz w:val="22"/>
                <w:szCs w:val="22"/>
              </w:rPr>
            </w:pPr>
          </w:p>
        </w:tc>
      </w:tr>
      <w:tr w:rsidR="00284F34" w:rsidRPr="000634A4" w14:paraId="05FCADF1" w14:textId="77777777" w:rsidTr="00220137">
        <w:trPr>
          <w:trHeight w:val="174"/>
        </w:trPr>
        <w:tc>
          <w:tcPr>
            <w:tcW w:w="884" w:type="dxa"/>
          </w:tcPr>
          <w:p w14:paraId="657EE0D6" w14:textId="77777777" w:rsidR="00F0453B" w:rsidRPr="000634A4" w:rsidRDefault="00F0453B" w:rsidP="00F0453B">
            <w:pPr>
              <w:rPr>
                <w:snapToGrid w:val="0"/>
                <w:sz w:val="22"/>
                <w:szCs w:val="22"/>
              </w:rPr>
            </w:pPr>
            <w:r w:rsidRPr="000634A4">
              <w:rPr>
                <w:snapToGrid w:val="0"/>
                <w:sz w:val="22"/>
                <w:szCs w:val="22"/>
              </w:rPr>
              <w:t>3.1 (b)</w:t>
            </w:r>
          </w:p>
        </w:tc>
        <w:tc>
          <w:tcPr>
            <w:tcW w:w="4515" w:type="dxa"/>
          </w:tcPr>
          <w:p w14:paraId="4F846176" w14:textId="77777777" w:rsidR="00F0453B" w:rsidRPr="000634A4" w:rsidRDefault="00F0453B" w:rsidP="00F0453B">
            <w:pPr>
              <w:rPr>
                <w:snapToGrid w:val="0"/>
                <w:sz w:val="22"/>
                <w:szCs w:val="22"/>
              </w:rPr>
            </w:pPr>
            <w:r w:rsidRPr="000634A4">
              <w:rPr>
                <w:snapToGrid w:val="0"/>
                <w:sz w:val="22"/>
                <w:szCs w:val="22"/>
              </w:rPr>
              <w:t xml:space="preserve">Certificate of Amendment of Certificate of </w:t>
            </w:r>
          </w:p>
        </w:tc>
        <w:tc>
          <w:tcPr>
            <w:tcW w:w="5410" w:type="dxa"/>
            <w:gridSpan w:val="2"/>
          </w:tcPr>
          <w:p w14:paraId="249BBF0A" w14:textId="77777777" w:rsidR="00F0453B" w:rsidRPr="000634A4" w:rsidRDefault="00F0453B" w:rsidP="00F0453B">
            <w:pPr>
              <w:rPr>
                <w:snapToGrid w:val="0"/>
                <w:sz w:val="22"/>
                <w:szCs w:val="22"/>
              </w:rPr>
            </w:pPr>
            <w:r w:rsidRPr="000634A4">
              <w:rPr>
                <w:snapToGrid w:val="0"/>
                <w:sz w:val="22"/>
                <w:szCs w:val="22"/>
              </w:rPr>
              <w:t>Filed as Exhibit 3.1(b) to our Form 10-K for the year ended</w:t>
            </w:r>
          </w:p>
        </w:tc>
      </w:tr>
      <w:tr w:rsidR="00284F34" w:rsidRPr="000634A4" w14:paraId="513BA6E6" w14:textId="77777777" w:rsidTr="00220137">
        <w:trPr>
          <w:trHeight w:val="174"/>
        </w:trPr>
        <w:tc>
          <w:tcPr>
            <w:tcW w:w="884" w:type="dxa"/>
          </w:tcPr>
          <w:p w14:paraId="49A998B8" w14:textId="77777777" w:rsidR="00F0453B" w:rsidRPr="000634A4" w:rsidRDefault="00F0453B" w:rsidP="00F0453B">
            <w:pPr>
              <w:rPr>
                <w:snapToGrid w:val="0"/>
                <w:sz w:val="22"/>
                <w:szCs w:val="22"/>
              </w:rPr>
            </w:pPr>
          </w:p>
        </w:tc>
        <w:tc>
          <w:tcPr>
            <w:tcW w:w="4515" w:type="dxa"/>
          </w:tcPr>
          <w:p w14:paraId="0A549E18" w14:textId="77777777" w:rsidR="00F0453B" w:rsidRPr="000634A4" w:rsidRDefault="00F0453B" w:rsidP="00F0453B">
            <w:pPr>
              <w:rPr>
                <w:snapToGrid w:val="0"/>
                <w:sz w:val="22"/>
                <w:szCs w:val="22"/>
              </w:rPr>
            </w:pPr>
            <w:r w:rsidRPr="000634A4">
              <w:rPr>
                <w:snapToGrid w:val="0"/>
                <w:sz w:val="22"/>
                <w:szCs w:val="22"/>
              </w:rPr>
              <w:t>Incorporation of Innodata Corporation dated February 28, 2001</w:t>
            </w:r>
          </w:p>
        </w:tc>
        <w:tc>
          <w:tcPr>
            <w:tcW w:w="5410" w:type="dxa"/>
            <w:gridSpan w:val="2"/>
          </w:tcPr>
          <w:p w14:paraId="6B41AAA0" w14:textId="27EF17F7" w:rsidR="00F0453B" w:rsidRPr="000634A4" w:rsidRDefault="00F0453B" w:rsidP="00F0453B">
            <w:pPr>
              <w:rPr>
                <w:snapToGrid w:val="0"/>
                <w:sz w:val="22"/>
                <w:szCs w:val="22"/>
              </w:rPr>
            </w:pPr>
            <w:r w:rsidRPr="000634A4">
              <w:rPr>
                <w:snapToGrid w:val="0"/>
                <w:sz w:val="22"/>
                <w:szCs w:val="22"/>
              </w:rPr>
              <w:t>December 31, 2003</w:t>
            </w:r>
          </w:p>
        </w:tc>
      </w:tr>
      <w:tr w:rsidR="00284F34" w:rsidRPr="000634A4" w14:paraId="2AFA8FF3" w14:textId="77777777" w:rsidTr="00220137">
        <w:trPr>
          <w:trHeight w:val="174"/>
        </w:trPr>
        <w:tc>
          <w:tcPr>
            <w:tcW w:w="884" w:type="dxa"/>
          </w:tcPr>
          <w:p w14:paraId="787E993F" w14:textId="77777777" w:rsidR="00F0453B" w:rsidRPr="000634A4" w:rsidRDefault="00F0453B" w:rsidP="00F0453B">
            <w:pPr>
              <w:rPr>
                <w:snapToGrid w:val="0"/>
                <w:sz w:val="22"/>
                <w:szCs w:val="22"/>
              </w:rPr>
            </w:pPr>
          </w:p>
        </w:tc>
        <w:tc>
          <w:tcPr>
            <w:tcW w:w="4515" w:type="dxa"/>
          </w:tcPr>
          <w:p w14:paraId="2BCA01F8" w14:textId="77777777" w:rsidR="00F0453B" w:rsidRPr="000634A4" w:rsidRDefault="00F0453B" w:rsidP="00F0453B">
            <w:pPr>
              <w:rPr>
                <w:snapToGrid w:val="0"/>
                <w:sz w:val="22"/>
                <w:szCs w:val="22"/>
              </w:rPr>
            </w:pPr>
          </w:p>
        </w:tc>
        <w:tc>
          <w:tcPr>
            <w:tcW w:w="5410" w:type="dxa"/>
            <w:gridSpan w:val="2"/>
          </w:tcPr>
          <w:p w14:paraId="7FBA5923" w14:textId="77777777" w:rsidR="00F0453B" w:rsidRPr="000634A4" w:rsidRDefault="00F0453B" w:rsidP="00F0453B">
            <w:pPr>
              <w:rPr>
                <w:snapToGrid w:val="0"/>
                <w:sz w:val="22"/>
                <w:szCs w:val="22"/>
              </w:rPr>
            </w:pPr>
          </w:p>
        </w:tc>
      </w:tr>
      <w:tr w:rsidR="00284F34" w:rsidRPr="000634A4" w14:paraId="2A96A867" w14:textId="77777777" w:rsidTr="00220137">
        <w:trPr>
          <w:trHeight w:hRule="exact" w:val="71"/>
        </w:trPr>
        <w:tc>
          <w:tcPr>
            <w:tcW w:w="884" w:type="dxa"/>
          </w:tcPr>
          <w:p w14:paraId="6971170B" w14:textId="77777777" w:rsidR="00F0453B" w:rsidRPr="000634A4" w:rsidRDefault="00F0453B" w:rsidP="00F0453B">
            <w:pPr>
              <w:rPr>
                <w:snapToGrid w:val="0"/>
                <w:sz w:val="22"/>
                <w:szCs w:val="22"/>
              </w:rPr>
            </w:pPr>
          </w:p>
        </w:tc>
        <w:tc>
          <w:tcPr>
            <w:tcW w:w="4515" w:type="dxa"/>
          </w:tcPr>
          <w:p w14:paraId="328E02EC" w14:textId="77777777" w:rsidR="00F0453B" w:rsidRPr="000634A4" w:rsidRDefault="00F0453B" w:rsidP="00F0453B">
            <w:pPr>
              <w:jc w:val="right"/>
              <w:rPr>
                <w:snapToGrid w:val="0"/>
                <w:sz w:val="22"/>
                <w:szCs w:val="22"/>
              </w:rPr>
            </w:pPr>
          </w:p>
        </w:tc>
        <w:tc>
          <w:tcPr>
            <w:tcW w:w="5410" w:type="dxa"/>
            <w:gridSpan w:val="2"/>
          </w:tcPr>
          <w:p w14:paraId="0D12F03A" w14:textId="77777777" w:rsidR="00F0453B" w:rsidRPr="000634A4" w:rsidRDefault="00F0453B" w:rsidP="00F0453B">
            <w:pPr>
              <w:jc w:val="right"/>
              <w:rPr>
                <w:snapToGrid w:val="0"/>
                <w:sz w:val="22"/>
                <w:szCs w:val="22"/>
              </w:rPr>
            </w:pPr>
          </w:p>
        </w:tc>
      </w:tr>
      <w:tr w:rsidR="00284F34" w:rsidRPr="000634A4" w14:paraId="4F0C9985" w14:textId="77777777" w:rsidTr="00220137">
        <w:trPr>
          <w:trHeight w:val="174"/>
        </w:trPr>
        <w:tc>
          <w:tcPr>
            <w:tcW w:w="884" w:type="dxa"/>
          </w:tcPr>
          <w:p w14:paraId="70C74E42" w14:textId="77777777" w:rsidR="00F0453B" w:rsidRPr="000634A4" w:rsidRDefault="00F0453B" w:rsidP="00F0453B">
            <w:pPr>
              <w:rPr>
                <w:snapToGrid w:val="0"/>
                <w:sz w:val="22"/>
                <w:szCs w:val="22"/>
              </w:rPr>
            </w:pPr>
            <w:r w:rsidRPr="000634A4">
              <w:rPr>
                <w:snapToGrid w:val="0"/>
                <w:sz w:val="22"/>
                <w:szCs w:val="22"/>
              </w:rPr>
              <w:t>3.1 (c)</w:t>
            </w:r>
          </w:p>
        </w:tc>
        <w:tc>
          <w:tcPr>
            <w:tcW w:w="4515" w:type="dxa"/>
          </w:tcPr>
          <w:p w14:paraId="291227D3" w14:textId="77777777" w:rsidR="00F0453B" w:rsidRPr="000634A4" w:rsidRDefault="00F0453B" w:rsidP="00F0453B">
            <w:pPr>
              <w:rPr>
                <w:snapToGrid w:val="0"/>
                <w:sz w:val="22"/>
                <w:szCs w:val="22"/>
              </w:rPr>
            </w:pPr>
            <w:r w:rsidRPr="000634A4">
              <w:rPr>
                <w:snapToGrid w:val="0"/>
                <w:sz w:val="22"/>
                <w:szCs w:val="22"/>
              </w:rPr>
              <w:t xml:space="preserve">Certificate of Amendment of Certificate of </w:t>
            </w:r>
          </w:p>
        </w:tc>
        <w:tc>
          <w:tcPr>
            <w:tcW w:w="5410" w:type="dxa"/>
            <w:gridSpan w:val="2"/>
          </w:tcPr>
          <w:p w14:paraId="388E8838" w14:textId="77777777" w:rsidR="00F0453B" w:rsidRPr="000634A4" w:rsidRDefault="00F0453B" w:rsidP="00F0453B">
            <w:pPr>
              <w:rPr>
                <w:snapToGrid w:val="0"/>
                <w:sz w:val="22"/>
                <w:szCs w:val="22"/>
              </w:rPr>
            </w:pPr>
            <w:r w:rsidRPr="000634A4">
              <w:rPr>
                <w:snapToGrid w:val="0"/>
                <w:sz w:val="22"/>
                <w:szCs w:val="22"/>
              </w:rPr>
              <w:t>Filed as Exhibit 3.1(c) to our Form 10-K for the year ended</w:t>
            </w:r>
          </w:p>
        </w:tc>
      </w:tr>
      <w:tr w:rsidR="00284F34" w:rsidRPr="000634A4" w14:paraId="25B6B6B6" w14:textId="77777777" w:rsidTr="00220137">
        <w:trPr>
          <w:trHeight w:val="174"/>
        </w:trPr>
        <w:tc>
          <w:tcPr>
            <w:tcW w:w="884" w:type="dxa"/>
          </w:tcPr>
          <w:p w14:paraId="316A609A" w14:textId="77777777" w:rsidR="00F0453B" w:rsidRPr="000634A4" w:rsidRDefault="00F0453B" w:rsidP="00F0453B">
            <w:pPr>
              <w:rPr>
                <w:snapToGrid w:val="0"/>
                <w:sz w:val="22"/>
                <w:szCs w:val="22"/>
              </w:rPr>
            </w:pPr>
          </w:p>
        </w:tc>
        <w:tc>
          <w:tcPr>
            <w:tcW w:w="4515" w:type="dxa"/>
          </w:tcPr>
          <w:p w14:paraId="5908D341" w14:textId="77777777" w:rsidR="00F0453B" w:rsidRPr="000634A4" w:rsidRDefault="00F0453B" w:rsidP="00F0453B">
            <w:pPr>
              <w:rPr>
                <w:snapToGrid w:val="0"/>
                <w:sz w:val="22"/>
                <w:szCs w:val="22"/>
              </w:rPr>
            </w:pPr>
            <w:r w:rsidRPr="000634A4">
              <w:rPr>
                <w:snapToGrid w:val="0"/>
                <w:sz w:val="22"/>
                <w:szCs w:val="22"/>
              </w:rPr>
              <w:t>Incorporation of Innodata Corporation</w:t>
            </w:r>
          </w:p>
        </w:tc>
        <w:tc>
          <w:tcPr>
            <w:tcW w:w="5410" w:type="dxa"/>
            <w:gridSpan w:val="2"/>
          </w:tcPr>
          <w:p w14:paraId="429D4040" w14:textId="090BF43B" w:rsidR="00F0453B" w:rsidRPr="000634A4" w:rsidRDefault="00F0453B" w:rsidP="00F0453B">
            <w:pPr>
              <w:rPr>
                <w:snapToGrid w:val="0"/>
                <w:sz w:val="22"/>
                <w:szCs w:val="22"/>
              </w:rPr>
            </w:pPr>
            <w:r w:rsidRPr="000634A4">
              <w:rPr>
                <w:snapToGrid w:val="0"/>
                <w:sz w:val="22"/>
                <w:szCs w:val="22"/>
              </w:rPr>
              <w:t>December 31, 20</w:t>
            </w:r>
            <w:r w:rsidRPr="000634A4">
              <w:rPr>
                <w:snapToGrid w:val="0"/>
                <w:sz w:val="18"/>
              </w:rPr>
              <w:t>03</w:t>
            </w:r>
          </w:p>
        </w:tc>
      </w:tr>
      <w:tr w:rsidR="00284F34" w:rsidRPr="000634A4" w14:paraId="333A3C27" w14:textId="77777777" w:rsidTr="00220137">
        <w:trPr>
          <w:trHeight w:val="174"/>
        </w:trPr>
        <w:tc>
          <w:tcPr>
            <w:tcW w:w="884" w:type="dxa"/>
          </w:tcPr>
          <w:p w14:paraId="6D8C2753" w14:textId="77777777" w:rsidR="00F0453B" w:rsidRPr="000634A4" w:rsidRDefault="00F0453B" w:rsidP="00F0453B">
            <w:pPr>
              <w:rPr>
                <w:snapToGrid w:val="0"/>
                <w:sz w:val="22"/>
                <w:szCs w:val="22"/>
              </w:rPr>
            </w:pPr>
          </w:p>
        </w:tc>
        <w:tc>
          <w:tcPr>
            <w:tcW w:w="4515" w:type="dxa"/>
          </w:tcPr>
          <w:p w14:paraId="34CD98BC" w14:textId="3D2D7FB1" w:rsidR="00F0453B" w:rsidRPr="000634A4" w:rsidRDefault="00F0453B" w:rsidP="00F0453B">
            <w:pPr>
              <w:rPr>
                <w:snapToGrid w:val="0"/>
                <w:sz w:val="22"/>
                <w:szCs w:val="22"/>
              </w:rPr>
            </w:pPr>
            <w:r w:rsidRPr="000634A4">
              <w:rPr>
                <w:snapToGrid w:val="0"/>
                <w:sz w:val="22"/>
                <w:szCs w:val="22"/>
              </w:rPr>
              <w:t>dated November 14, 2003</w:t>
            </w:r>
          </w:p>
        </w:tc>
        <w:tc>
          <w:tcPr>
            <w:tcW w:w="5410" w:type="dxa"/>
            <w:gridSpan w:val="2"/>
          </w:tcPr>
          <w:p w14:paraId="4E692842" w14:textId="77777777" w:rsidR="00F0453B" w:rsidRPr="000634A4" w:rsidRDefault="00F0453B" w:rsidP="00F0453B">
            <w:pPr>
              <w:rPr>
                <w:snapToGrid w:val="0"/>
                <w:sz w:val="22"/>
                <w:szCs w:val="22"/>
              </w:rPr>
            </w:pPr>
          </w:p>
        </w:tc>
      </w:tr>
      <w:tr w:rsidR="00284F34" w:rsidRPr="000634A4" w14:paraId="4891DEBA" w14:textId="77777777" w:rsidTr="00220137">
        <w:trPr>
          <w:trHeight w:val="174"/>
        </w:trPr>
        <w:tc>
          <w:tcPr>
            <w:tcW w:w="884" w:type="dxa"/>
            <w:shd w:val="clear" w:color="auto" w:fill="auto"/>
          </w:tcPr>
          <w:p w14:paraId="5C226547" w14:textId="77777777" w:rsidR="00F0453B" w:rsidRPr="000634A4" w:rsidRDefault="00F0453B" w:rsidP="00F0453B">
            <w:pPr>
              <w:rPr>
                <w:snapToGrid w:val="0"/>
                <w:sz w:val="22"/>
                <w:szCs w:val="22"/>
              </w:rPr>
            </w:pPr>
          </w:p>
        </w:tc>
        <w:tc>
          <w:tcPr>
            <w:tcW w:w="4515" w:type="dxa"/>
            <w:shd w:val="clear" w:color="auto" w:fill="auto"/>
          </w:tcPr>
          <w:p w14:paraId="2E944F14" w14:textId="77777777" w:rsidR="00F0453B" w:rsidRPr="000634A4" w:rsidRDefault="00F0453B" w:rsidP="00F0453B">
            <w:pPr>
              <w:rPr>
                <w:snapToGrid w:val="0"/>
                <w:sz w:val="22"/>
                <w:szCs w:val="22"/>
              </w:rPr>
            </w:pPr>
          </w:p>
        </w:tc>
        <w:tc>
          <w:tcPr>
            <w:tcW w:w="5410" w:type="dxa"/>
            <w:gridSpan w:val="2"/>
            <w:shd w:val="clear" w:color="auto" w:fill="auto"/>
          </w:tcPr>
          <w:p w14:paraId="0AAA7687" w14:textId="77777777" w:rsidR="00F0453B" w:rsidRPr="000634A4" w:rsidRDefault="00F0453B" w:rsidP="00F0453B">
            <w:pPr>
              <w:rPr>
                <w:snapToGrid w:val="0"/>
                <w:sz w:val="22"/>
                <w:szCs w:val="22"/>
              </w:rPr>
            </w:pPr>
          </w:p>
        </w:tc>
      </w:tr>
      <w:tr w:rsidR="00284F34" w:rsidRPr="000634A4" w14:paraId="1EFF7A67" w14:textId="77777777" w:rsidTr="00220137">
        <w:trPr>
          <w:trHeight w:val="174"/>
        </w:trPr>
        <w:tc>
          <w:tcPr>
            <w:tcW w:w="884" w:type="dxa"/>
            <w:shd w:val="clear" w:color="auto" w:fill="auto"/>
          </w:tcPr>
          <w:p w14:paraId="1F1A5C90" w14:textId="77777777" w:rsidR="008A4560" w:rsidRPr="000634A4" w:rsidRDefault="008A4560" w:rsidP="008A4560">
            <w:pPr>
              <w:rPr>
                <w:snapToGrid w:val="0"/>
                <w:sz w:val="22"/>
                <w:szCs w:val="22"/>
              </w:rPr>
            </w:pPr>
            <w:r w:rsidRPr="000634A4">
              <w:rPr>
                <w:snapToGrid w:val="0"/>
                <w:sz w:val="22"/>
                <w:szCs w:val="22"/>
              </w:rPr>
              <w:t>3.1 (d)</w:t>
            </w:r>
          </w:p>
        </w:tc>
        <w:tc>
          <w:tcPr>
            <w:tcW w:w="4515" w:type="dxa"/>
            <w:shd w:val="clear" w:color="auto" w:fill="auto"/>
          </w:tcPr>
          <w:p w14:paraId="515DD5BB" w14:textId="6FFAFD51" w:rsidR="008A4560" w:rsidRPr="000634A4" w:rsidRDefault="008A4560" w:rsidP="008A4560">
            <w:pPr>
              <w:rPr>
                <w:snapToGrid w:val="0"/>
                <w:sz w:val="22"/>
                <w:szCs w:val="22"/>
              </w:rPr>
            </w:pPr>
            <w:r w:rsidRPr="000634A4">
              <w:rPr>
                <w:snapToGrid w:val="0"/>
                <w:sz w:val="22"/>
                <w:szCs w:val="22"/>
              </w:rPr>
              <w:t>Certificate of Amendment of Certificate of Incorporation of Innodata Isogen, Inc. dated June 5, 2012</w:t>
            </w:r>
          </w:p>
        </w:tc>
        <w:tc>
          <w:tcPr>
            <w:tcW w:w="5410" w:type="dxa"/>
            <w:gridSpan w:val="2"/>
            <w:shd w:val="clear" w:color="auto" w:fill="auto"/>
          </w:tcPr>
          <w:p w14:paraId="11C5A025" w14:textId="77777777" w:rsidR="008A4560" w:rsidRPr="000634A4" w:rsidRDefault="008A4560" w:rsidP="008A4560">
            <w:pPr>
              <w:rPr>
                <w:snapToGrid w:val="0"/>
                <w:sz w:val="22"/>
                <w:szCs w:val="22"/>
              </w:rPr>
            </w:pPr>
            <w:r w:rsidRPr="000634A4">
              <w:rPr>
                <w:snapToGrid w:val="0"/>
                <w:sz w:val="22"/>
                <w:szCs w:val="22"/>
              </w:rPr>
              <w:t xml:space="preserve">Filed as Exhibit 3.1 to our Form 10-Q for the quarter ended </w:t>
            </w:r>
          </w:p>
          <w:p w14:paraId="1E7238F3" w14:textId="09E4D02D" w:rsidR="008A4560" w:rsidRPr="000634A4" w:rsidRDefault="008A4560" w:rsidP="008A4560">
            <w:pPr>
              <w:rPr>
                <w:snapToGrid w:val="0"/>
                <w:sz w:val="22"/>
                <w:szCs w:val="22"/>
              </w:rPr>
            </w:pPr>
            <w:r w:rsidRPr="000634A4">
              <w:rPr>
                <w:snapToGrid w:val="0"/>
                <w:sz w:val="22"/>
                <w:szCs w:val="22"/>
              </w:rPr>
              <w:t>June 30, 2012</w:t>
            </w:r>
          </w:p>
        </w:tc>
      </w:tr>
      <w:tr w:rsidR="00284F34" w:rsidRPr="000634A4" w14:paraId="02D84125" w14:textId="77777777" w:rsidTr="00220137">
        <w:trPr>
          <w:trHeight w:hRule="exact" w:val="71"/>
        </w:trPr>
        <w:tc>
          <w:tcPr>
            <w:tcW w:w="884" w:type="dxa"/>
            <w:shd w:val="clear" w:color="auto" w:fill="auto"/>
          </w:tcPr>
          <w:p w14:paraId="4A0776C4" w14:textId="77777777" w:rsidR="008A4560" w:rsidRPr="000634A4" w:rsidRDefault="008A4560" w:rsidP="008A4560">
            <w:pPr>
              <w:rPr>
                <w:snapToGrid w:val="0"/>
                <w:sz w:val="22"/>
                <w:szCs w:val="22"/>
              </w:rPr>
            </w:pPr>
          </w:p>
        </w:tc>
        <w:tc>
          <w:tcPr>
            <w:tcW w:w="4515" w:type="dxa"/>
            <w:shd w:val="clear" w:color="auto" w:fill="auto"/>
          </w:tcPr>
          <w:p w14:paraId="1B6423A2" w14:textId="77777777" w:rsidR="008A4560" w:rsidRPr="000634A4" w:rsidRDefault="008A4560" w:rsidP="008A4560">
            <w:pPr>
              <w:jc w:val="right"/>
              <w:rPr>
                <w:snapToGrid w:val="0"/>
                <w:sz w:val="22"/>
                <w:szCs w:val="22"/>
              </w:rPr>
            </w:pPr>
          </w:p>
        </w:tc>
        <w:tc>
          <w:tcPr>
            <w:tcW w:w="5410" w:type="dxa"/>
            <w:gridSpan w:val="2"/>
            <w:shd w:val="clear" w:color="auto" w:fill="auto"/>
          </w:tcPr>
          <w:p w14:paraId="6BB7BCF0" w14:textId="77777777" w:rsidR="008A4560" w:rsidRPr="000634A4" w:rsidRDefault="008A4560" w:rsidP="008A4560">
            <w:pPr>
              <w:jc w:val="right"/>
              <w:rPr>
                <w:snapToGrid w:val="0"/>
                <w:sz w:val="22"/>
                <w:szCs w:val="22"/>
              </w:rPr>
            </w:pPr>
          </w:p>
        </w:tc>
      </w:tr>
      <w:tr w:rsidR="00284F34" w:rsidRPr="000634A4" w14:paraId="34661AC5" w14:textId="77777777" w:rsidTr="00220137">
        <w:trPr>
          <w:trHeight w:val="174"/>
        </w:trPr>
        <w:tc>
          <w:tcPr>
            <w:tcW w:w="884" w:type="dxa"/>
            <w:shd w:val="clear" w:color="auto" w:fill="auto"/>
          </w:tcPr>
          <w:p w14:paraId="3D47E8F5" w14:textId="77777777" w:rsidR="008A4560" w:rsidRPr="000634A4" w:rsidRDefault="008A4560" w:rsidP="008A4560">
            <w:pPr>
              <w:rPr>
                <w:snapToGrid w:val="0"/>
                <w:sz w:val="22"/>
                <w:szCs w:val="22"/>
              </w:rPr>
            </w:pPr>
            <w:r w:rsidRPr="000634A4">
              <w:rPr>
                <w:snapToGrid w:val="0"/>
                <w:sz w:val="22"/>
                <w:szCs w:val="22"/>
              </w:rPr>
              <w:t>3.2</w:t>
            </w:r>
          </w:p>
        </w:tc>
        <w:tc>
          <w:tcPr>
            <w:tcW w:w="4515" w:type="dxa"/>
            <w:shd w:val="clear" w:color="auto" w:fill="auto"/>
          </w:tcPr>
          <w:p w14:paraId="0AC0C18C" w14:textId="2A13026D" w:rsidR="008A4560" w:rsidRPr="000634A4" w:rsidRDefault="008A4560" w:rsidP="008A4560">
            <w:pPr>
              <w:rPr>
                <w:snapToGrid w:val="0"/>
                <w:sz w:val="22"/>
                <w:szCs w:val="22"/>
              </w:rPr>
            </w:pPr>
            <w:r w:rsidRPr="000634A4">
              <w:rPr>
                <w:snapToGrid w:val="0"/>
                <w:sz w:val="22"/>
                <w:szCs w:val="22"/>
              </w:rPr>
              <w:t>Form of Amended and Restated By-Laws</w:t>
            </w:r>
          </w:p>
        </w:tc>
        <w:tc>
          <w:tcPr>
            <w:tcW w:w="5410" w:type="dxa"/>
            <w:gridSpan w:val="2"/>
            <w:shd w:val="clear" w:color="auto" w:fill="auto"/>
          </w:tcPr>
          <w:p w14:paraId="1FCDC75E" w14:textId="3650CC4A" w:rsidR="008A4560" w:rsidRPr="000634A4" w:rsidRDefault="008A4560" w:rsidP="008A4560">
            <w:pPr>
              <w:rPr>
                <w:snapToGrid w:val="0"/>
                <w:sz w:val="22"/>
                <w:szCs w:val="22"/>
              </w:rPr>
            </w:pPr>
            <w:r w:rsidRPr="000634A4">
              <w:rPr>
                <w:snapToGrid w:val="0"/>
                <w:sz w:val="22"/>
                <w:szCs w:val="22"/>
              </w:rPr>
              <w:t>Filed as Exhibit 3.1 to Form 8-K dated December 16, 2002</w:t>
            </w:r>
          </w:p>
        </w:tc>
      </w:tr>
      <w:tr w:rsidR="00284F34" w:rsidRPr="000634A4" w14:paraId="7D7C8194" w14:textId="77777777" w:rsidTr="00220137">
        <w:trPr>
          <w:trHeight w:hRule="exact" w:val="71"/>
        </w:trPr>
        <w:tc>
          <w:tcPr>
            <w:tcW w:w="884" w:type="dxa"/>
            <w:shd w:val="clear" w:color="auto" w:fill="auto"/>
          </w:tcPr>
          <w:p w14:paraId="4C1DC531" w14:textId="77777777" w:rsidR="008A4560" w:rsidRPr="000634A4" w:rsidRDefault="008A4560" w:rsidP="008A4560">
            <w:pPr>
              <w:rPr>
                <w:snapToGrid w:val="0"/>
                <w:sz w:val="22"/>
                <w:szCs w:val="22"/>
              </w:rPr>
            </w:pPr>
          </w:p>
        </w:tc>
        <w:tc>
          <w:tcPr>
            <w:tcW w:w="4515" w:type="dxa"/>
            <w:shd w:val="clear" w:color="auto" w:fill="auto"/>
          </w:tcPr>
          <w:p w14:paraId="2D22C989" w14:textId="77777777" w:rsidR="008A4560" w:rsidRPr="000634A4" w:rsidRDefault="008A4560" w:rsidP="008A4560">
            <w:pPr>
              <w:jc w:val="right"/>
              <w:rPr>
                <w:snapToGrid w:val="0"/>
                <w:sz w:val="22"/>
                <w:szCs w:val="22"/>
              </w:rPr>
            </w:pPr>
          </w:p>
        </w:tc>
        <w:tc>
          <w:tcPr>
            <w:tcW w:w="5410" w:type="dxa"/>
            <w:gridSpan w:val="2"/>
            <w:shd w:val="clear" w:color="auto" w:fill="auto"/>
          </w:tcPr>
          <w:p w14:paraId="2A9A535B" w14:textId="77777777" w:rsidR="008A4560" w:rsidRPr="000634A4" w:rsidRDefault="008A4560" w:rsidP="008A4560">
            <w:pPr>
              <w:jc w:val="right"/>
              <w:rPr>
                <w:snapToGrid w:val="0"/>
                <w:sz w:val="22"/>
                <w:szCs w:val="22"/>
              </w:rPr>
            </w:pPr>
          </w:p>
        </w:tc>
      </w:tr>
      <w:tr w:rsidR="00284F34" w:rsidRPr="000634A4" w14:paraId="613D5F20" w14:textId="77777777" w:rsidTr="00220137">
        <w:trPr>
          <w:trHeight w:hRule="exact" w:val="72"/>
        </w:trPr>
        <w:tc>
          <w:tcPr>
            <w:tcW w:w="884" w:type="dxa"/>
            <w:shd w:val="clear" w:color="auto" w:fill="auto"/>
          </w:tcPr>
          <w:p w14:paraId="7B76D9FB" w14:textId="77777777" w:rsidR="008A4560" w:rsidRPr="000634A4" w:rsidRDefault="008A4560" w:rsidP="008A4560">
            <w:pPr>
              <w:rPr>
                <w:snapToGrid w:val="0"/>
                <w:sz w:val="22"/>
                <w:szCs w:val="22"/>
              </w:rPr>
            </w:pPr>
          </w:p>
        </w:tc>
        <w:tc>
          <w:tcPr>
            <w:tcW w:w="4515" w:type="dxa"/>
            <w:shd w:val="clear" w:color="auto" w:fill="auto"/>
          </w:tcPr>
          <w:p w14:paraId="19956D25" w14:textId="77777777" w:rsidR="008A4560" w:rsidRPr="000634A4" w:rsidRDefault="008A4560" w:rsidP="008A4560">
            <w:pPr>
              <w:rPr>
                <w:snapToGrid w:val="0"/>
                <w:sz w:val="22"/>
                <w:szCs w:val="22"/>
              </w:rPr>
            </w:pPr>
          </w:p>
        </w:tc>
        <w:tc>
          <w:tcPr>
            <w:tcW w:w="5410" w:type="dxa"/>
            <w:gridSpan w:val="2"/>
            <w:shd w:val="clear" w:color="auto" w:fill="auto"/>
          </w:tcPr>
          <w:p w14:paraId="1488DAC4" w14:textId="77777777" w:rsidR="008A4560" w:rsidRPr="000634A4" w:rsidRDefault="008A4560" w:rsidP="008A4560">
            <w:pPr>
              <w:rPr>
                <w:snapToGrid w:val="0"/>
                <w:sz w:val="22"/>
                <w:szCs w:val="22"/>
              </w:rPr>
            </w:pPr>
          </w:p>
        </w:tc>
      </w:tr>
      <w:tr w:rsidR="00284F34" w:rsidRPr="000634A4" w14:paraId="0A845C03" w14:textId="77777777" w:rsidTr="00220137">
        <w:trPr>
          <w:trHeight w:hRule="exact" w:val="71"/>
        </w:trPr>
        <w:tc>
          <w:tcPr>
            <w:tcW w:w="884" w:type="dxa"/>
            <w:shd w:val="clear" w:color="auto" w:fill="auto"/>
          </w:tcPr>
          <w:p w14:paraId="0A774B3C" w14:textId="77777777" w:rsidR="008A4560" w:rsidRPr="000634A4" w:rsidRDefault="008A4560" w:rsidP="008A4560">
            <w:pPr>
              <w:rPr>
                <w:snapToGrid w:val="0"/>
                <w:sz w:val="22"/>
                <w:szCs w:val="22"/>
              </w:rPr>
            </w:pPr>
          </w:p>
        </w:tc>
        <w:tc>
          <w:tcPr>
            <w:tcW w:w="4515" w:type="dxa"/>
            <w:shd w:val="clear" w:color="auto" w:fill="auto"/>
          </w:tcPr>
          <w:p w14:paraId="1D8DF2E6" w14:textId="77777777" w:rsidR="008A4560" w:rsidRPr="000634A4" w:rsidRDefault="008A4560" w:rsidP="008A4560">
            <w:pPr>
              <w:jc w:val="right"/>
              <w:rPr>
                <w:snapToGrid w:val="0"/>
                <w:sz w:val="22"/>
                <w:szCs w:val="22"/>
              </w:rPr>
            </w:pPr>
          </w:p>
        </w:tc>
        <w:tc>
          <w:tcPr>
            <w:tcW w:w="5410" w:type="dxa"/>
            <w:gridSpan w:val="2"/>
            <w:shd w:val="clear" w:color="auto" w:fill="auto"/>
          </w:tcPr>
          <w:p w14:paraId="69AC1A93" w14:textId="77777777" w:rsidR="008A4560" w:rsidRPr="000634A4" w:rsidRDefault="008A4560" w:rsidP="008A4560">
            <w:pPr>
              <w:jc w:val="right"/>
              <w:rPr>
                <w:snapToGrid w:val="0"/>
                <w:sz w:val="22"/>
                <w:szCs w:val="22"/>
              </w:rPr>
            </w:pPr>
          </w:p>
        </w:tc>
      </w:tr>
      <w:tr w:rsidR="00284F34" w:rsidRPr="000634A4" w14:paraId="521CA47D" w14:textId="77777777" w:rsidTr="00220137">
        <w:trPr>
          <w:trHeight w:val="174"/>
        </w:trPr>
        <w:tc>
          <w:tcPr>
            <w:tcW w:w="884" w:type="dxa"/>
            <w:shd w:val="clear" w:color="auto" w:fill="auto"/>
          </w:tcPr>
          <w:p w14:paraId="12CA9411" w14:textId="77777777" w:rsidR="008A4560" w:rsidRPr="000634A4" w:rsidRDefault="008A4560" w:rsidP="008A4560">
            <w:pPr>
              <w:rPr>
                <w:snapToGrid w:val="0"/>
                <w:sz w:val="22"/>
                <w:szCs w:val="22"/>
              </w:rPr>
            </w:pPr>
            <w:r w:rsidRPr="000634A4">
              <w:rPr>
                <w:snapToGrid w:val="0"/>
                <w:sz w:val="22"/>
                <w:szCs w:val="22"/>
              </w:rPr>
              <w:t>4.1</w:t>
            </w:r>
          </w:p>
        </w:tc>
        <w:tc>
          <w:tcPr>
            <w:tcW w:w="4515" w:type="dxa"/>
            <w:shd w:val="clear" w:color="auto" w:fill="auto"/>
          </w:tcPr>
          <w:p w14:paraId="009F13C4" w14:textId="39C4A450" w:rsidR="008A4560" w:rsidRPr="000634A4" w:rsidRDefault="008A4560" w:rsidP="008A4560">
            <w:pPr>
              <w:rPr>
                <w:snapToGrid w:val="0"/>
                <w:sz w:val="22"/>
                <w:szCs w:val="22"/>
              </w:rPr>
            </w:pPr>
            <w:r w:rsidRPr="000634A4">
              <w:rPr>
                <w:snapToGrid w:val="0"/>
                <w:sz w:val="22"/>
                <w:szCs w:val="22"/>
              </w:rPr>
              <w:t>Specimen of Common Stock certificate</w:t>
            </w:r>
          </w:p>
        </w:tc>
        <w:tc>
          <w:tcPr>
            <w:tcW w:w="5410" w:type="dxa"/>
            <w:gridSpan w:val="2"/>
            <w:shd w:val="clear" w:color="auto" w:fill="auto"/>
          </w:tcPr>
          <w:p w14:paraId="71C5F388" w14:textId="47E069C7" w:rsidR="008A4560" w:rsidRPr="000634A4" w:rsidRDefault="008A4560" w:rsidP="008A4560">
            <w:pPr>
              <w:rPr>
                <w:snapToGrid w:val="0"/>
                <w:sz w:val="22"/>
                <w:szCs w:val="22"/>
              </w:rPr>
            </w:pPr>
            <w:r w:rsidRPr="000634A4">
              <w:rPr>
                <w:snapToGrid w:val="0"/>
                <w:sz w:val="22"/>
                <w:szCs w:val="22"/>
              </w:rPr>
              <w:t>Filed as Exhibit 4.1 to Form 10-Q dated August 7, 2015</w:t>
            </w:r>
          </w:p>
        </w:tc>
      </w:tr>
      <w:tr w:rsidR="00284F34" w:rsidRPr="000634A4" w14:paraId="426AB3FD" w14:textId="77777777" w:rsidTr="00220137">
        <w:trPr>
          <w:trHeight w:val="174"/>
        </w:trPr>
        <w:tc>
          <w:tcPr>
            <w:tcW w:w="884" w:type="dxa"/>
            <w:shd w:val="clear" w:color="auto" w:fill="auto"/>
          </w:tcPr>
          <w:p w14:paraId="2FDF2CFF" w14:textId="77777777" w:rsidR="008A4560" w:rsidRPr="000634A4" w:rsidRDefault="008A4560" w:rsidP="008A4560">
            <w:pPr>
              <w:rPr>
                <w:snapToGrid w:val="0"/>
                <w:sz w:val="22"/>
                <w:szCs w:val="22"/>
              </w:rPr>
            </w:pPr>
          </w:p>
        </w:tc>
        <w:tc>
          <w:tcPr>
            <w:tcW w:w="4515" w:type="dxa"/>
            <w:shd w:val="clear" w:color="auto" w:fill="auto"/>
          </w:tcPr>
          <w:p w14:paraId="1FCE0775" w14:textId="77777777" w:rsidR="008A4560" w:rsidRPr="000634A4" w:rsidRDefault="008A4560" w:rsidP="008A4560">
            <w:pPr>
              <w:rPr>
                <w:snapToGrid w:val="0"/>
                <w:sz w:val="22"/>
                <w:szCs w:val="22"/>
              </w:rPr>
            </w:pPr>
          </w:p>
        </w:tc>
        <w:tc>
          <w:tcPr>
            <w:tcW w:w="5410" w:type="dxa"/>
            <w:gridSpan w:val="2"/>
            <w:shd w:val="clear" w:color="auto" w:fill="auto"/>
          </w:tcPr>
          <w:p w14:paraId="3E00DEA8" w14:textId="77777777" w:rsidR="008A4560" w:rsidRPr="000634A4" w:rsidRDefault="008A4560" w:rsidP="008A4560">
            <w:pPr>
              <w:rPr>
                <w:snapToGrid w:val="0"/>
                <w:sz w:val="22"/>
                <w:szCs w:val="22"/>
              </w:rPr>
            </w:pPr>
          </w:p>
        </w:tc>
      </w:tr>
      <w:tr w:rsidR="00284F34" w:rsidRPr="000634A4" w14:paraId="45A549A2" w14:textId="77777777" w:rsidTr="00220137">
        <w:trPr>
          <w:trHeight w:val="174"/>
        </w:trPr>
        <w:tc>
          <w:tcPr>
            <w:tcW w:w="884" w:type="dxa"/>
            <w:shd w:val="clear" w:color="auto" w:fill="auto"/>
          </w:tcPr>
          <w:p w14:paraId="7387D296" w14:textId="0A6DCD29" w:rsidR="008A4560" w:rsidRPr="000634A4" w:rsidRDefault="008A4560" w:rsidP="008A4560">
            <w:pPr>
              <w:rPr>
                <w:snapToGrid w:val="0"/>
                <w:sz w:val="22"/>
                <w:szCs w:val="22"/>
              </w:rPr>
            </w:pPr>
            <w:r w:rsidRPr="000634A4">
              <w:rPr>
                <w:snapToGrid w:val="0"/>
                <w:sz w:val="22"/>
                <w:szCs w:val="22"/>
              </w:rPr>
              <w:t>4.</w:t>
            </w:r>
            <w:r w:rsidR="00C07EF5" w:rsidRPr="000634A4">
              <w:rPr>
                <w:snapToGrid w:val="0"/>
                <w:sz w:val="22"/>
                <w:szCs w:val="22"/>
              </w:rPr>
              <w:t>2</w:t>
            </w:r>
          </w:p>
        </w:tc>
        <w:tc>
          <w:tcPr>
            <w:tcW w:w="4515" w:type="dxa"/>
            <w:shd w:val="clear" w:color="auto" w:fill="auto"/>
          </w:tcPr>
          <w:p w14:paraId="3CA6A899" w14:textId="48A4A543" w:rsidR="008A4560" w:rsidRPr="000634A4" w:rsidRDefault="008A4560" w:rsidP="008A4560">
            <w:pPr>
              <w:rPr>
                <w:snapToGrid w:val="0"/>
                <w:sz w:val="22"/>
                <w:szCs w:val="22"/>
              </w:rPr>
            </w:pPr>
            <w:r w:rsidRPr="000634A4">
              <w:rPr>
                <w:snapToGrid w:val="0"/>
                <w:sz w:val="22"/>
                <w:szCs w:val="22"/>
              </w:rPr>
              <w:t xml:space="preserve">Description of the Registrant’s Securities Registered Pursuant to Section 12 of the Securities Exchange Act of 1934 </w:t>
            </w:r>
          </w:p>
        </w:tc>
        <w:tc>
          <w:tcPr>
            <w:tcW w:w="5410" w:type="dxa"/>
            <w:gridSpan w:val="2"/>
            <w:shd w:val="clear" w:color="auto" w:fill="auto"/>
          </w:tcPr>
          <w:p w14:paraId="609EC2D5" w14:textId="6CBBCD7F" w:rsidR="008A4560" w:rsidRPr="000634A4" w:rsidRDefault="00473ABE" w:rsidP="008A4560">
            <w:pPr>
              <w:rPr>
                <w:snapToGrid w:val="0"/>
                <w:sz w:val="22"/>
                <w:szCs w:val="22"/>
              </w:rPr>
            </w:pPr>
            <w:r w:rsidRPr="000634A4">
              <w:rPr>
                <w:snapToGrid w:val="0"/>
                <w:sz w:val="22"/>
                <w:szCs w:val="22"/>
              </w:rPr>
              <w:t>Filed as Exhibit 4.2 to our Form 10-K for the year ended December 31, 2021</w:t>
            </w:r>
            <w:r w:rsidR="00C07EF5" w:rsidRPr="000634A4">
              <w:rPr>
                <w:snapToGrid w:val="0"/>
                <w:sz w:val="22"/>
                <w:szCs w:val="22"/>
              </w:rPr>
              <w:t xml:space="preserve"> </w:t>
            </w:r>
          </w:p>
        </w:tc>
      </w:tr>
      <w:tr w:rsidR="00284F34" w:rsidRPr="000634A4" w14:paraId="550163B5" w14:textId="77777777" w:rsidTr="00220137">
        <w:trPr>
          <w:trHeight w:val="174"/>
        </w:trPr>
        <w:tc>
          <w:tcPr>
            <w:tcW w:w="884" w:type="dxa"/>
            <w:shd w:val="clear" w:color="auto" w:fill="auto"/>
          </w:tcPr>
          <w:p w14:paraId="7106A709" w14:textId="77777777" w:rsidR="008A4560" w:rsidRPr="000634A4" w:rsidRDefault="008A4560" w:rsidP="008A4560">
            <w:pPr>
              <w:rPr>
                <w:snapToGrid w:val="0"/>
                <w:sz w:val="22"/>
                <w:szCs w:val="22"/>
              </w:rPr>
            </w:pPr>
          </w:p>
        </w:tc>
        <w:tc>
          <w:tcPr>
            <w:tcW w:w="4515" w:type="dxa"/>
            <w:shd w:val="clear" w:color="auto" w:fill="auto"/>
          </w:tcPr>
          <w:p w14:paraId="274306A6" w14:textId="77777777" w:rsidR="008A4560" w:rsidRPr="000634A4" w:rsidRDefault="008A4560" w:rsidP="008A4560">
            <w:pPr>
              <w:rPr>
                <w:snapToGrid w:val="0"/>
                <w:sz w:val="22"/>
                <w:szCs w:val="22"/>
              </w:rPr>
            </w:pPr>
          </w:p>
        </w:tc>
        <w:tc>
          <w:tcPr>
            <w:tcW w:w="5410" w:type="dxa"/>
            <w:gridSpan w:val="2"/>
            <w:shd w:val="clear" w:color="auto" w:fill="auto"/>
          </w:tcPr>
          <w:p w14:paraId="5162C3E1" w14:textId="77777777" w:rsidR="008A4560" w:rsidRPr="000634A4" w:rsidRDefault="008A4560" w:rsidP="008A4560">
            <w:pPr>
              <w:rPr>
                <w:snapToGrid w:val="0"/>
                <w:sz w:val="22"/>
                <w:szCs w:val="22"/>
              </w:rPr>
            </w:pPr>
          </w:p>
        </w:tc>
      </w:tr>
      <w:tr w:rsidR="00284F34" w:rsidRPr="000634A4" w14:paraId="25378C8B" w14:textId="77777777" w:rsidTr="00220137">
        <w:trPr>
          <w:trHeight w:val="174"/>
        </w:trPr>
        <w:tc>
          <w:tcPr>
            <w:tcW w:w="884" w:type="dxa"/>
            <w:shd w:val="clear" w:color="auto" w:fill="auto"/>
          </w:tcPr>
          <w:p w14:paraId="315AEFD8" w14:textId="43D5E680" w:rsidR="008A4560" w:rsidRPr="000634A4" w:rsidRDefault="008A4560" w:rsidP="008A4560">
            <w:pPr>
              <w:rPr>
                <w:snapToGrid w:val="0"/>
                <w:sz w:val="22"/>
                <w:szCs w:val="22"/>
              </w:rPr>
            </w:pPr>
            <w:r w:rsidRPr="000634A4">
              <w:rPr>
                <w:snapToGrid w:val="0"/>
                <w:sz w:val="22"/>
                <w:szCs w:val="22"/>
              </w:rPr>
              <w:t>10.1</w:t>
            </w:r>
          </w:p>
        </w:tc>
        <w:tc>
          <w:tcPr>
            <w:tcW w:w="4515" w:type="dxa"/>
            <w:shd w:val="clear" w:color="auto" w:fill="auto"/>
          </w:tcPr>
          <w:p w14:paraId="08B00A30" w14:textId="59A66CB2" w:rsidR="008A4560" w:rsidRPr="000634A4" w:rsidRDefault="008A4560" w:rsidP="005275AA">
            <w:pPr>
              <w:rPr>
                <w:snapToGrid w:val="0"/>
                <w:sz w:val="22"/>
                <w:szCs w:val="22"/>
              </w:rPr>
            </w:pPr>
            <w:r w:rsidRPr="000634A4">
              <w:rPr>
                <w:snapToGrid w:val="0"/>
                <w:sz w:val="22"/>
                <w:szCs w:val="22"/>
              </w:rPr>
              <w:t xml:space="preserve">Form of Indemnification Agreement </w:t>
            </w:r>
            <w:r w:rsidR="005275AA" w:rsidRPr="000634A4">
              <w:rPr>
                <w:snapToGrid w:val="0"/>
                <w:sz w:val="22"/>
                <w:szCs w:val="22"/>
              </w:rPr>
              <w:t>between us and our Directors and one of our Officers</w:t>
            </w:r>
          </w:p>
        </w:tc>
        <w:tc>
          <w:tcPr>
            <w:tcW w:w="5410" w:type="dxa"/>
            <w:gridSpan w:val="2"/>
            <w:shd w:val="clear" w:color="auto" w:fill="auto"/>
          </w:tcPr>
          <w:p w14:paraId="6483894F" w14:textId="3989E47B" w:rsidR="008A4560" w:rsidRPr="000634A4" w:rsidRDefault="008A4560" w:rsidP="008A4560">
            <w:pPr>
              <w:rPr>
                <w:snapToGrid w:val="0"/>
                <w:sz w:val="22"/>
                <w:szCs w:val="22"/>
              </w:rPr>
            </w:pPr>
            <w:r w:rsidRPr="000634A4">
              <w:rPr>
                <w:snapToGrid w:val="0"/>
                <w:sz w:val="22"/>
                <w:szCs w:val="22"/>
              </w:rPr>
              <w:t>Filed as Exhibit 10.3 to Form 10-K for the year ended December 31, 2002</w:t>
            </w:r>
          </w:p>
        </w:tc>
      </w:tr>
      <w:tr w:rsidR="00284F34" w:rsidRPr="000634A4" w14:paraId="70BED5A1" w14:textId="77777777" w:rsidTr="00220137">
        <w:trPr>
          <w:trHeight w:val="174"/>
        </w:trPr>
        <w:tc>
          <w:tcPr>
            <w:tcW w:w="884" w:type="dxa"/>
            <w:shd w:val="clear" w:color="auto" w:fill="auto"/>
          </w:tcPr>
          <w:p w14:paraId="3700ED66" w14:textId="77777777" w:rsidR="008A4560" w:rsidRPr="000634A4" w:rsidRDefault="008A4560" w:rsidP="008A4560">
            <w:pPr>
              <w:rPr>
                <w:snapToGrid w:val="0"/>
                <w:sz w:val="22"/>
                <w:szCs w:val="22"/>
              </w:rPr>
            </w:pPr>
          </w:p>
        </w:tc>
        <w:tc>
          <w:tcPr>
            <w:tcW w:w="4515" w:type="dxa"/>
            <w:shd w:val="clear" w:color="auto" w:fill="auto"/>
          </w:tcPr>
          <w:p w14:paraId="39A02292" w14:textId="77777777" w:rsidR="008A4560" w:rsidRPr="000634A4" w:rsidRDefault="008A4560" w:rsidP="008A4560">
            <w:pPr>
              <w:jc w:val="right"/>
              <w:rPr>
                <w:snapToGrid w:val="0"/>
                <w:sz w:val="22"/>
                <w:szCs w:val="22"/>
              </w:rPr>
            </w:pPr>
          </w:p>
        </w:tc>
        <w:tc>
          <w:tcPr>
            <w:tcW w:w="5410" w:type="dxa"/>
            <w:gridSpan w:val="2"/>
            <w:shd w:val="clear" w:color="auto" w:fill="auto"/>
          </w:tcPr>
          <w:p w14:paraId="4F5AFD93" w14:textId="77777777" w:rsidR="008A4560" w:rsidRPr="000634A4" w:rsidRDefault="008A4560" w:rsidP="008A4560">
            <w:pPr>
              <w:jc w:val="right"/>
              <w:rPr>
                <w:snapToGrid w:val="0"/>
                <w:sz w:val="22"/>
                <w:szCs w:val="22"/>
              </w:rPr>
            </w:pPr>
          </w:p>
        </w:tc>
      </w:tr>
      <w:tr w:rsidR="00284F34" w:rsidRPr="000634A4" w14:paraId="7243112E" w14:textId="77777777" w:rsidTr="00220137">
        <w:trPr>
          <w:gridAfter w:val="1"/>
          <w:wAfter w:w="14" w:type="dxa"/>
          <w:trHeight w:val="174"/>
        </w:trPr>
        <w:tc>
          <w:tcPr>
            <w:tcW w:w="884" w:type="dxa"/>
            <w:shd w:val="clear" w:color="auto" w:fill="auto"/>
          </w:tcPr>
          <w:p w14:paraId="64166A89" w14:textId="0B5EB7E2" w:rsidR="008A4560" w:rsidRPr="000634A4" w:rsidRDefault="008A4560" w:rsidP="008A4560">
            <w:pPr>
              <w:rPr>
                <w:snapToGrid w:val="0"/>
                <w:sz w:val="22"/>
                <w:szCs w:val="22"/>
              </w:rPr>
            </w:pPr>
            <w:r w:rsidRPr="000634A4">
              <w:rPr>
                <w:snapToGrid w:val="0"/>
                <w:sz w:val="22"/>
                <w:szCs w:val="22"/>
              </w:rPr>
              <w:t>10.2</w:t>
            </w:r>
          </w:p>
        </w:tc>
        <w:tc>
          <w:tcPr>
            <w:tcW w:w="4515" w:type="dxa"/>
            <w:shd w:val="clear" w:color="auto" w:fill="auto"/>
          </w:tcPr>
          <w:p w14:paraId="4B01FD15" w14:textId="28D10FD0" w:rsidR="008A4560" w:rsidRPr="000634A4" w:rsidRDefault="008A4560" w:rsidP="008A4560">
            <w:pPr>
              <w:rPr>
                <w:snapToGrid w:val="0"/>
                <w:sz w:val="22"/>
                <w:szCs w:val="22"/>
              </w:rPr>
            </w:pPr>
            <w:r w:rsidRPr="000634A4">
              <w:rPr>
                <w:snapToGrid w:val="0"/>
                <w:sz w:val="22"/>
                <w:szCs w:val="22"/>
              </w:rPr>
              <w:t xml:space="preserve">Employment Agreement dated as of </w:t>
            </w:r>
            <w:r w:rsidR="005275AA" w:rsidRPr="000634A4">
              <w:rPr>
                <w:snapToGrid w:val="0"/>
                <w:sz w:val="22"/>
                <w:szCs w:val="22"/>
              </w:rPr>
              <w:t>January 1, 2007 with Ashok Mishra*</w:t>
            </w:r>
          </w:p>
        </w:tc>
        <w:tc>
          <w:tcPr>
            <w:tcW w:w="5396" w:type="dxa"/>
            <w:shd w:val="clear" w:color="auto" w:fill="auto"/>
          </w:tcPr>
          <w:p w14:paraId="2656FD60" w14:textId="138A2867" w:rsidR="008A4560" w:rsidRPr="000634A4" w:rsidRDefault="008A4560" w:rsidP="00284F34">
            <w:pPr>
              <w:rPr>
                <w:snapToGrid w:val="0"/>
                <w:sz w:val="22"/>
                <w:szCs w:val="22"/>
              </w:rPr>
            </w:pPr>
            <w:r w:rsidRPr="000634A4">
              <w:rPr>
                <w:snapToGrid w:val="0"/>
                <w:sz w:val="22"/>
                <w:szCs w:val="22"/>
              </w:rPr>
              <w:t>Filed as Exhibit 10.1 to Form 10-Q for the quarter ended June 30, 2007</w:t>
            </w:r>
          </w:p>
        </w:tc>
      </w:tr>
      <w:tr w:rsidR="00284F34" w:rsidRPr="000634A4" w14:paraId="0F8C3700" w14:textId="77777777" w:rsidTr="00220137">
        <w:trPr>
          <w:gridAfter w:val="1"/>
          <w:wAfter w:w="14" w:type="dxa"/>
          <w:trHeight w:val="174"/>
        </w:trPr>
        <w:tc>
          <w:tcPr>
            <w:tcW w:w="884" w:type="dxa"/>
            <w:shd w:val="clear" w:color="auto" w:fill="auto"/>
          </w:tcPr>
          <w:p w14:paraId="11F71297" w14:textId="77777777" w:rsidR="008A4560" w:rsidRPr="000634A4" w:rsidRDefault="008A4560" w:rsidP="008A4560">
            <w:pPr>
              <w:rPr>
                <w:snapToGrid w:val="0"/>
                <w:sz w:val="22"/>
                <w:szCs w:val="22"/>
              </w:rPr>
            </w:pPr>
          </w:p>
        </w:tc>
        <w:tc>
          <w:tcPr>
            <w:tcW w:w="4515" w:type="dxa"/>
            <w:shd w:val="clear" w:color="auto" w:fill="auto"/>
          </w:tcPr>
          <w:p w14:paraId="4E90EE84" w14:textId="65FDAFA0" w:rsidR="008A4560" w:rsidRPr="000634A4" w:rsidRDefault="008A4560" w:rsidP="008A4560">
            <w:pPr>
              <w:rPr>
                <w:snapToGrid w:val="0"/>
                <w:sz w:val="22"/>
                <w:szCs w:val="22"/>
              </w:rPr>
            </w:pPr>
          </w:p>
        </w:tc>
        <w:tc>
          <w:tcPr>
            <w:tcW w:w="5396" w:type="dxa"/>
            <w:shd w:val="clear" w:color="auto" w:fill="auto"/>
          </w:tcPr>
          <w:p w14:paraId="291B189E" w14:textId="77777777" w:rsidR="008A4560" w:rsidRPr="000634A4" w:rsidRDefault="008A4560" w:rsidP="008A4560">
            <w:pPr>
              <w:rPr>
                <w:snapToGrid w:val="0"/>
                <w:sz w:val="22"/>
                <w:szCs w:val="22"/>
              </w:rPr>
            </w:pPr>
          </w:p>
        </w:tc>
      </w:tr>
      <w:tr w:rsidR="00284F34" w:rsidRPr="000634A4" w14:paraId="2448EFE9" w14:textId="77777777" w:rsidTr="00220137">
        <w:trPr>
          <w:gridAfter w:val="1"/>
          <w:wAfter w:w="14" w:type="dxa"/>
          <w:trHeight w:val="174"/>
        </w:trPr>
        <w:tc>
          <w:tcPr>
            <w:tcW w:w="884" w:type="dxa"/>
            <w:shd w:val="clear" w:color="auto" w:fill="auto"/>
          </w:tcPr>
          <w:p w14:paraId="1126A710" w14:textId="77777777" w:rsidR="008A4560" w:rsidRPr="000634A4" w:rsidRDefault="008A4560" w:rsidP="008A4560">
            <w:pPr>
              <w:rPr>
                <w:snapToGrid w:val="0"/>
                <w:sz w:val="22"/>
                <w:szCs w:val="22"/>
              </w:rPr>
            </w:pPr>
          </w:p>
        </w:tc>
        <w:tc>
          <w:tcPr>
            <w:tcW w:w="4515" w:type="dxa"/>
            <w:shd w:val="clear" w:color="auto" w:fill="auto"/>
          </w:tcPr>
          <w:p w14:paraId="12E3BCCC" w14:textId="77777777" w:rsidR="008A4560" w:rsidRPr="000634A4" w:rsidRDefault="008A4560" w:rsidP="008A4560">
            <w:pPr>
              <w:rPr>
                <w:snapToGrid w:val="0"/>
                <w:sz w:val="22"/>
                <w:szCs w:val="22"/>
              </w:rPr>
            </w:pPr>
          </w:p>
        </w:tc>
        <w:tc>
          <w:tcPr>
            <w:tcW w:w="5396" w:type="dxa"/>
            <w:shd w:val="clear" w:color="auto" w:fill="auto"/>
          </w:tcPr>
          <w:p w14:paraId="45CEA97D" w14:textId="77777777" w:rsidR="008A4560" w:rsidRPr="000634A4" w:rsidRDefault="008A4560" w:rsidP="008A4560">
            <w:pPr>
              <w:rPr>
                <w:snapToGrid w:val="0"/>
                <w:sz w:val="22"/>
                <w:szCs w:val="22"/>
              </w:rPr>
            </w:pPr>
          </w:p>
        </w:tc>
      </w:tr>
      <w:tr w:rsidR="00284F34" w:rsidRPr="000634A4" w14:paraId="71E44406" w14:textId="77777777" w:rsidTr="00220137">
        <w:trPr>
          <w:gridAfter w:val="1"/>
          <w:wAfter w:w="14" w:type="dxa"/>
          <w:trHeight w:val="392"/>
        </w:trPr>
        <w:tc>
          <w:tcPr>
            <w:tcW w:w="884" w:type="dxa"/>
            <w:shd w:val="clear" w:color="auto" w:fill="auto"/>
          </w:tcPr>
          <w:p w14:paraId="1D288CC5" w14:textId="07CE68E3" w:rsidR="008A4560" w:rsidRPr="000634A4" w:rsidRDefault="008A4560" w:rsidP="008A4560">
            <w:pPr>
              <w:rPr>
                <w:snapToGrid w:val="0"/>
                <w:sz w:val="22"/>
                <w:szCs w:val="22"/>
              </w:rPr>
            </w:pPr>
            <w:r w:rsidRPr="000634A4">
              <w:rPr>
                <w:snapToGrid w:val="0"/>
                <w:sz w:val="22"/>
                <w:szCs w:val="22"/>
              </w:rPr>
              <w:t>10.3</w:t>
            </w:r>
          </w:p>
        </w:tc>
        <w:tc>
          <w:tcPr>
            <w:tcW w:w="4515" w:type="dxa"/>
            <w:shd w:val="clear" w:color="auto" w:fill="auto"/>
          </w:tcPr>
          <w:p w14:paraId="37AD3437" w14:textId="4F1634A4" w:rsidR="008A4560" w:rsidRPr="000634A4" w:rsidRDefault="008A4560" w:rsidP="008A4560">
            <w:pPr>
              <w:rPr>
                <w:snapToGrid w:val="0"/>
                <w:sz w:val="22"/>
                <w:szCs w:val="22"/>
              </w:rPr>
            </w:pPr>
            <w:r w:rsidRPr="000634A4">
              <w:rPr>
                <w:snapToGrid w:val="0"/>
                <w:sz w:val="22"/>
                <w:szCs w:val="22"/>
              </w:rPr>
              <w:t>Employment Agreement dated as of March 25, 2009 with Jack S. Abuhoff*</w:t>
            </w:r>
          </w:p>
        </w:tc>
        <w:tc>
          <w:tcPr>
            <w:tcW w:w="5396" w:type="dxa"/>
            <w:shd w:val="clear" w:color="auto" w:fill="auto"/>
          </w:tcPr>
          <w:p w14:paraId="0AB8E2DF" w14:textId="4F404156" w:rsidR="008A4560" w:rsidRPr="000634A4" w:rsidRDefault="008A4560" w:rsidP="008A4560">
            <w:pPr>
              <w:rPr>
                <w:snapToGrid w:val="0"/>
                <w:sz w:val="22"/>
                <w:szCs w:val="22"/>
              </w:rPr>
            </w:pPr>
            <w:r w:rsidRPr="000634A4">
              <w:rPr>
                <w:snapToGrid w:val="0"/>
                <w:sz w:val="22"/>
                <w:szCs w:val="22"/>
              </w:rPr>
              <w:t>Filed as Exhibit 10.1 to Form 8-K dated March 25, 2009</w:t>
            </w:r>
          </w:p>
        </w:tc>
      </w:tr>
      <w:tr w:rsidR="00284F34" w:rsidRPr="000634A4" w14:paraId="71424692" w14:textId="77777777" w:rsidTr="00220137">
        <w:trPr>
          <w:trHeight w:val="174"/>
        </w:trPr>
        <w:tc>
          <w:tcPr>
            <w:tcW w:w="884" w:type="dxa"/>
            <w:shd w:val="clear" w:color="auto" w:fill="auto"/>
          </w:tcPr>
          <w:p w14:paraId="5D12912A" w14:textId="77777777" w:rsidR="008A4560" w:rsidRPr="000634A4" w:rsidRDefault="008A4560" w:rsidP="008A4560">
            <w:pPr>
              <w:rPr>
                <w:snapToGrid w:val="0"/>
                <w:sz w:val="22"/>
                <w:szCs w:val="22"/>
              </w:rPr>
            </w:pPr>
          </w:p>
        </w:tc>
        <w:tc>
          <w:tcPr>
            <w:tcW w:w="4515" w:type="dxa"/>
            <w:shd w:val="clear" w:color="auto" w:fill="auto"/>
          </w:tcPr>
          <w:p w14:paraId="2C57E32F" w14:textId="77777777" w:rsidR="008A4560" w:rsidRPr="000634A4" w:rsidRDefault="008A4560" w:rsidP="008A4560">
            <w:pPr>
              <w:rPr>
                <w:snapToGrid w:val="0"/>
                <w:sz w:val="22"/>
                <w:szCs w:val="22"/>
              </w:rPr>
            </w:pPr>
          </w:p>
        </w:tc>
        <w:tc>
          <w:tcPr>
            <w:tcW w:w="5410" w:type="dxa"/>
            <w:gridSpan w:val="2"/>
            <w:shd w:val="clear" w:color="auto" w:fill="auto"/>
          </w:tcPr>
          <w:p w14:paraId="42B33D45" w14:textId="77777777" w:rsidR="008A4560" w:rsidRPr="000634A4" w:rsidRDefault="008A4560" w:rsidP="008A4560">
            <w:pPr>
              <w:rPr>
                <w:snapToGrid w:val="0"/>
                <w:sz w:val="22"/>
                <w:szCs w:val="22"/>
              </w:rPr>
            </w:pPr>
          </w:p>
        </w:tc>
      </w:tr>
      <w:tr w:rsidR="00284F34" w:rsidRPr="000634A4" w14:paraId="1EA05232" w14:textId="77777777" w:rsidTr="00220137">
        <w:trPr>
          <w:gridAfter w:val="1"/>
          <w:wAfter w:w="14" w:type="dxa"/>
          <w:trHeight w:val="392"/>
        </w:trPr>
        <w:tc>
          <w:tcPr>
            <w:tcW w:w="884" w:type="dxa"/>
            <w:shd w:val="clear" w:color="auto" w:fill="auto"/>
          </w:tcPr>
          <w:p w14:paraId="2EF8A80E" w14:textId="0B5499E2" w:rsidR="008A4560" w:rsidRPr="000634A4" w:rsidRDefault="008A4560" w:rsidP="008A4560">
            <w:pPr>
              <w:rPr>
                <w:snapToGrid w:val="0"/>
                <w:sz w:val="22"/>
                <w:szCs w:val="22"/>
              </w:rPr>
            </w:pPr>
            <w:r w:rsidRPr="000634A4">
              <w:rPr>
                <w:snapToGrid w:val="0"/>
                <w:sz w:val="22"/>
                <w:szCs w:val="22"/>
              </w:rPr>
              <w:t>10.4</w:t>
            </w:r>
          </w:p>
        </w:tc>
        <w:tc>
          <w:tcPr>
            <w:tcW w:w="4515" w:type="dxa"/>
            <w:shd w:val="clear" w:color="auto" w:fill="auto"/>
          </w:tcPr>
          <w:p w14:paraId="1453DF5B" w14:textId="6F1753A3" w:rsidR="008A4560" w:rsidRPr="000634A4" w:rsidRDefault="008A4560" w:rsidP="008A4560">
            <w:pPr>
              <w:rPr>
                <w:snapToGrid w:val="0"/>
                <w:sz w:val="22"/>
                <w:szCs w:val="22"/>
              </w:rPr>
            </w:pPr>
            <w:r w:rsidRPr="000634A4">
              <w:rPr>
                <w:snapToGrid w:val="0"/>
                <w:sz w:val="22"/>
                <w:szCs w:val="22"/>
              </w:rPr>
              <w:t>Amendment to Employment Agreement with Jack S. Abuhoff dated as of July 11, 2011*</w:t>
            </w:r>
            <w:r w:rsidRPr="000634A4">
              <w:rPr>
                <w:snapToGrid w:val="0"/>
                <w:sz w:val="22"/>
                <w:szCs w:val="22"/>
              </w:rPr>
              <w:tab/>
            </w:r>
          </w:p>
        </w:tc>
        <w:tc>
          <w:tcPr>
            <w:tcW w:w="5396" w:type="dxa"/>
            <w:shd w:val="clear" w:color="auto" w:fill="auto"/>
          </w:tcPr>
          <w:p w14:paraId="70AC575C" w14:textId="6CF0746C" w:rsidR="008A4560" w:rsidRPr="000634A4" w:rsidRDefault="008A4560" w:rsidP="008A4560">
            <w:pPr>
              <w:rPr>
                <w:snapToGrid w:val="0"/>
                <w:sz w:val="22"/>
                <w:szCs w:val="22"/>
              </w:rPr>
            </w:pPr>
            <w:r w:rsidRPr="000634A4">
              <w:rPr>
                <w:snapToGrid w:val="0"/>
                <w:sz w:val="22"/>
                <w:szCs w:val="22"/>
              </w:rPr>
              <w:t>Filed as Exhibit 10.1 to Form 8-K dated July 12, 2011</w:t>
            </w:r>
          </w:p>
        </w:tc>
      </w:tr>
      <w:tr w:rsidR="00284F34" w:rsidRPr="000634A4" w14:paraId="0A0B46A3" w14:textId="77777777" w:rsidTr="00220137">
        <w:trPr>
          <w:gridAfter w:val="1"/>
          <w:wAfter w:w="14" w:type="dxa"/>
          <w:trHeight w:val="174"/>
        </w:trPr>
        <w:tc>
          <w:tcPr>
            <w:tcW w:w="884" w:type="dxa"/>
            <w:shd w:val="clear" w:color="auto" w:fill="auto"/>
          </w:tcPr>
          <w:p w14:paraId="2E6BF38A" w14:textId="77777777" w:rsidR="008A4560" w:rsidRPr="000634A4" w:rsidRDefault="008A4560" w:rsidP="008A4560">
            <w:pPr>
              <w:rPr>
                <w:snapToGrid w:val="0"/>
                <w:sz w:val="22"/>
                <w:szCs w:val="22"/>
              </w:rPr>
            </w:pPr>
          </w:p>
          <w:p w14:paraId="7E6AD018" w14:textId="77777777" w:rsidR="008A4560" w:rsidRPr="000634A4" w:rsidRDefault="008A4560" w:rsidP="008A4560">
            <w:pPr>
              <w:rPr>
                <w:snapToGrid w:val="0"/>
                <w:sz w:val="22"/>
                <w:szCs w:val="22"/>
              </w:rPr>
            </w:pPr>
          </w:p>
          <w:p w14:paraId="3CB5971D" w14:textId="4598B86C" w:rsidR="008A4560" w:rsidRPr="000634A4" w:rsidRDefault="008A4560" w:rsidP="008A4560">
            <w:pPr>
              <w:rPr>
                <w:snapToGrid w:val="0"/>
                <w:sz w:val="22"/>
                <w:szCs w:val="22"/>
              </w:rPr>
            </w:pPr>
            <w:r w:rsidRPr="000634A4">
              <w:rPr>
                <w:snapToGrid w:val="0"/>
                <w:sz w:val="22"/>
                <w:szCs w:val="22"/>
              </w:rPr>
              <w:t>10.</w:t>
            </w:r>
            <w:r w:rsidR="00ED7DBB" w:rsidRPr="000634A4">
              <w:rPr>
                <w:snapToGrid w:val="0"/>
                <w:sz w:val="22"/>
                <w:szCs w:val="22"/>
              </w:rPr>
              <w:t>5</w:t>
            </w:r>
          </w:p>
          <w:p w14:paraId="62BE1630" w14:textId="07720850" w:rsidR="0081767C" w:rsidRPr="000634A4" w:rsidRDefault="0081767C" w:rsidP="008A4560">
            <w:pPr>
              <w:rPr>
                <w:snapToGrid w:val="0"/>
                <w:sz w:val="22"/>
                <w:szCs w:val="22"/>
              </w:rPr>
            </w:pPr>
          </w:p>
        </w:tc>
        <w:tc>
          <w:tcPr>
            <w:tcW w:w="4515" w:type="dxa"/>
            <w:shd w:val="clear" w:color="auto" w:fill="auto"/>
          </w:tcPr>
          <w:p w14:paraId="5F6060BA" w14:textId="77777777" w:rsidR="008A4560" w:rsidRPr="000634A4" w:rsidRDefault="008A4560" w:rsidP="008A4560">
            <w:pPr>
              <w:rPr>
                <w:snapToGrid w:val="0"/>
                <w:sz w:val="22"/>
                <w:szCs w:val="22"/>
              </w:rPr>
            </w:pPr>
          </w:p>
          <w:p w14:paraId="0F6BAB18" w14:textId="77777777" w:rsidR="008A4560" w:rsidRPr="000634A4" w:rsidRDefault="008A4560" w:rsidP="008A4560">
            <w:pPr>
              <w:rPr>
                <w:snapToGrid w:val="0"/>
                <w:sz w:val="22"/>
                <w:szCs w:val="22"/>
              </w:rPr>
            </w:pPr>
            <w:r w:rsidRPr="000634A4">
              <w:rPr>
                <w:snapToGrid w:val="0"/>
                <w:sz w:val="22"/>
                <w:szCs w:val="22"/>
              </w:rPr>
              <w:t xml:space="preserve">Form of Stock Option Grant Letter </w:t>
            </w:r>
          </w:p>
          <w:p w14:paraId="308F844C" w14:textId="77777777" w:rsidR="008A4560" w:rsidRPr="000634A4" w:rsidRDefault="008A4560" w:rsidP="008A4560">
            <w:pPr>
              <w:rPr>
                <w:snapToGrid w:val="0"/>
                <w:sz w:val="22"/>
                <w:szCs w:val="22"/>
              </w:rPr>
            </w:pPr>
            <w:r w:rsidRPr="000634A4">
              <w:rPr>
                <w:snapToGrid w:val="0"/>
                <w:sz w:val="22"/>
                <w:szCs w:val="22"/>
              </w:rPr>
              <w:t>for December 31, 2015 Grant, for Messrs. Abuhoff, Mishra and Nalavadi*</w:t>
            </w:r>
          </w:p>
          <w:p w14:paraId="11F31E18" w14:textId="77777777" w:rsidR="008A4560" w:rsidRPr="000634A4" w:rsidRDefault="008A4560" w:rsidP="008A4560">
            <w:pPr>
              <w:rPr>
                <w:snapToGrid w:val="0"/>
                <w:sz w:val="22"/>
                <w:szCs w:val="22"/>
              </w:rPr>
            </w:pPr>
          </w:p>
        </w:tc>
        <w:tc>
          <w:tcPr>
            <w:tcW w:w="5396" w:type="dxa"/>
            <w:shd w:val="clear" w:color="auto" w:fill="auto"/>
          </w:tcPr>
          <w:p w14:paraId="1B11EF81" w14:textId="77777777" w:rsidR="008A4560" w:rsidRPr="000634A4" w:rsidRDefault="008A4560" w:rsidP="008A4560">
            <w:pPr>
              <w:rPr>
                <w:snapToGrid w:val="0"/>
                <w:sz w:val="22"/>
                <w:szCs w:val="22"/>
              </w:rPr>
            </w:pPr>
          </w:p>
          <w:p w14:paraId="1A1DF125" w14:textId="77777777" w:rsidR="008A4560" w:rsidRPr="000634A4" w:rsidRDefault="008A4560" w:rsidP="008A4560">
            <w:pPr>
              <w:rPr>
                <w:snapToGrid w:val="0"/>
                <w:sz w:val="22"/>
                <w:szCs w:val="22"/>
              </w:rPr>
            </w:pPr>
          </w:p>
          <w:p w14:paraId="09B8E4A6" w14:textId="77777777" w:rsidR="008A4560" w:rsidRPr="000634A4" w:rsidRDefault="008A4560" w:rsidP="008A4560">
            <w:pPr>
              <w:rPr>
                <w:snapToGrid w:val="0"/>
                <w:sz w:val="22"/>
                <w:szCs w:val="22"/>
              </w:rPr>
            </w:pPr>
            <w:r w:rsidRPr="000634A4">
              <w:rPr>
                <w:snapToGrid w:val="0"/>
                <w:sz w:val="22"/>
                <w:szCs w:val="22"/>
              </w:rPr>
              <w:t>Filed as Exhibit 10.53 to Form 10-K dated March 14, 2016</w:t>
            </w:r>
          </w:p>
          <w:p w14:paraId="3088C571" w14:textId="77777777" w:rsidR="008A4560" w:rsidRPr="000634A4" w:rsidRDefault="008A4560" w:rsidP="008A4560">
            <w:pPr>
              <w:rPr>
                <w:snapToGrid w:val="0"/>
                <w:sz w:val="22"/>
                <w:szCs w:val="22"/>
              </w:rPr>
            </w:pPr>
          </w:p>
        </w:tc>
      </w:tr>
      <w:tr w:rsidR="00284F34" w:rsidRPr="000634A4" w14:paraId="4BCB3802" w14:textId="77777777" w:rsidTr="00220137">
        <w:trPr>
          <w:gridAfter w:val="1"/>
          <w:wAfter w:w="14" w:type="dxa"/>
          <w:trHeight w:val="174"/>
        </w:trPr>
        <w:tc>
          <w:tcPr>
            <w:tcW w:w="884" w:type="dxa"/>
            <w:shd w:val="clear" w:color="auto" w:fill="auto"/>
          </w:tcPr>
          <w:p w14:paraId="6DA192BC" w14:textId="6B071BDD" w:rsidR="008A4560" w:rsidRPr="000634A4" w:rsidRDefault="008A4560" w:rsidP="008A4560">
            <w:pPr>
              <w:rPr>
                <w:snapToGrid w:val="0"/>
                <w:sz w:val="22"/>
                <w:szCs w:val="22"/>
              </w:rPr>
            </w:pPr>
            <w:r w:rsidRPr="000634A4">
              <w:rPr>
                <w:snapToGrid w:val="0"/>
                <w:sz w:val="22"/>
                <w:szCs w:val="22"/>
              </w:rPr>
              <w:t>10.</w:t>
            </w:r>
            <w:r w:rsidR="00ED7DBB" w:rsidRPr="000634A4">
              <w:rPr>
                <w:snapToGrid w:val="0"/>
                <w:sz w:val="22"/>
                <w:szCs w:val="22"/>
              </w:rPr>
              <w:t>6</w:t>
            </w:r>
          </w:p>
        </w:tc>
        <w:tc>
          <w:tcPr>
            <w:tcW w:w="4515" w:type="dxa"/>
            <w:shd w:val="clear" w:color="auto" w:fill="auto"/>
          </w:tcPr>
          <w:p w14:paraId="6A8726FD" w14:textId="1C32F053" w:rsidR="008A4560" w:rsidRPr="000634A4" w:rsidRDefault="008A4560" w:rsidP="008A4560">
            <w:pPr>
              <w:rPr>
                <w:snapToGrid w:val="0"/>
                <w:sz w:val="22"/>
                <w:szCs w:val="22"/>
              </w:rPr>
            </w:pPr>
            <w:r w:rsidRPr="000634A4">
              <w:rPr>
                <w:sz w:val="22"/>
                <w:szCs w:val="22"/>
              </w:rPr>
              <w:t>Innodata Inc. 2013 Stock Plan (as Amended and Restated effective June 7, 2016)</w:t>
            </w:r>
          </w:p>
        </w:tc>
        <w:tc>
          <w:tcPr>
            <w:tcW w:w="5396" w:type="dxa"/>
            <w:shd w:val="clear" w:color="auto" w:fill="auto"/>
          </w:tcPr>
          <w:p w14:paraId="5DEF98F1" w14:textId="693A52A7" w:rsidR="008A4560" w:rsidRPr="000634A4" w:rsidRDefault="008A4560" w:rsidP="008A4560">
            <w:pPr>
              <w:rPr>
                <w:snapToGrid w:val="0"/>
                <w:sz w:val="22"/>
                <w:szCs w:val="22"/>
              </w:rPr>
            </w:pPr>
            <w:r w:rsidRPr="000634A4">
              <w:rPr>
                <w:snapToGrid w:val="0"/>
                <w:sz w:val="22"/>
                <w:szCs w:val="22"/>
              </w:rPr>
              <w:t xml:space="preserve">Filed as </w:t>
            </w:r>
            <w:r w:rsidRPr="000634A4">
              <w:rPr>
                <w:sz w:val="22"/>
                <w:szCs w:val="22"/>
              </w:rPr>
              <w:t>Annex B to Definitive Proxy dated April 18, 2016</w:t>
            </w:r>
          </w:p>
        </w:tc>
      </w:tr>
      <w:tr w:rsidR="00284F34" w:rsidRPr="000634A4" w14:paraId="3A07FAC6" w14:textId="77777777" w:rsidTr="00220137">
        <w:trPr>
          <w:trHeight w:val="174"/>
        </w:trPr>
        <w:tc>
          <w:tcPr>
            <w:tcW w:w="884" w:type="dxa"/>
            <w:shd w:val="clear" w:color="auto" w:fill="auto"/>
          </w:tcPr>
          <w:p w14:paraId="4E307220" w14:textId="77777777" w:rsidR="008A4560" w:rsidRPr="000634A4" w:rsidRDefault="008A4560" w:rsidP="008A4560">
            <w:pPr>
              <w:rPr>
                <w:snapToGrid w:val="0"/>
                <w:sz w:val="22"/>
                <w:szCs w:val="22"/>
              </w:rPr>
            </w:pPr>
          </w:p>
        </w:tc>
        <w:tc>
          <w:tcPr>
            <w:tcW w:w="4515" w:type="dxa"/>
            <w:shd w:val="clear" w:color="auto" w:fill="auto"/>
          </w:tcPr>
          <w:p w14:paraId="339727D1" w14:textId="77777777" w:rsidR="008A4560" w:rsidRPr="000634A4" w:rsidRDefault="008A4560" w:rsidP="008A4560">
            <w:pPr>
              <w:rPr>
                <w:snapToGrid w:val="0"/>
                <w:sz w:val="22"/>
                <w:szCs w:val="22"/>
              </w:rPr>
            </w:pPr>
          </w:p>
        </w:tc>
        <w:tc>
          <w:tcPr>
            <w:tcW w:w="5410" w:type="dxa"/>
            <w:gridSpan w:val="2"/>
            <w:shd w:val="clear" w:color="auto" w:fill="auto"/>
          </w:tcPr>
          <w:p w14:paraId="48DF4FDF" w14:textId="77777777" w:rsidR="008A4560" w:rsidRPr="000634A4" w:rsidRDefault="008A4560" w:rsidP="008A4560">
            <w:pPr>
              <w:rPr>
                <w:snapToGrid w:val="0"/>
                <w:sz w:val="22"/>
                <w:szCs w:val="22"/>
              </w:rPr>
            </w:pPr>
          </w:p>
        </w:tc>
      </w:tr>
      <w:tr w:rsidR="00284F34" w:rsidRPr="000634A4" w14:paraId="104F2D12" w14:textId="77777777" w:rsidTr="00220137">
        <w:trPr>
          <w:gridAfter w:val="1"/>
          <w:wAfter w:w="14" w:type="dxa"/>
          <w:trHeight w:val="174"/>
        </w:trPr>
        <w:tc>
          <w:tcPr>
            <w:tcW w:w="884" w:type="dxa"/>
            <w:shd w:val="clear" w:color="auto" w:fill="auto"/>
          </w:tcPr>
          <w:p w14:paraId="5F2C52D2" w14:textId="0AC4DDD5" w:rsidR="008A4560" w:rsidRPr="000634A4" w:rsidRDefault="008A4560" w:rsidP="008A4560">
            <w:pPr>
              <w:rPr>
                <w:snapToGrid w:val="0"/>
                <w:sz w:val="22"/>
                <w:szCs w:val="22"/>
              </w:rPr>
            </w:pPr>
            <w:r w:rsidRPr="000634A4">
              <w:rPr>
                <w:snapToGrid w:val="0"/>
                <w:sz w:val="22"/>
                <w:szCs w:val="22"/>
              </w:rPr>
              <w:t>10.</w:t>
            </w:r>
            <w:r w:rsidR="00ED7DBB" w:rsidRPr="000634A4">
              <w:rPr>
                <w:snapToGrid w:val="0"/>
                <w:sz w:val="22"/>
                <w:szCs w:val="22"/>
              </w:rPr>
              <w:t>7</w:t>
            </w:r>
          </w:p>
        </w:tc>
        <w:tc>
          <w:tcPr>
            <w:tcW w:w="4515" w:type="dxa"/>
            <w:shd w:val="clear" w:color="auto" w:fill="auto"/>
          </w:tcPr>
          <w:p w14:paraId="42723AC6" w14:textId="7D81BAD7" w:rsidR="008A4560" w:rsidRPr="000634A4" w:rsidRDefault="008A4560" w:rsidP="008A4560">
            <w:pPr>
              <w:rPr>
                <w:snapToGrid w:val="0"/>
                <w:sz w:val="22"/>
                <w:szCs w:val="22"/>
              </w:rPr>
            </w:pPr>
            <w:r w:rsidRPr="000634A4">
              <w:rPr>
                <w:snapToGrid w:val="0"/>
                <w:sz w:val="22"/>
                <w:szCs w:val="22"/>
              </w:rPr>
              <w:t xml:space="preserve">Form of Stock Option Grant Letter for </w:t>
            </w:r>
          </w:p>
        </w:tc>
        <w:tc>
          <w:tcPr>
            <w:tcW w:w="5396" w:type="dxa"/>
            <w:shd w:val="clear" w:color="auto" w:fill="auto"/>
          </w:tcPr>
          <w:p w14:paraId="33459AC4" w14:textId="4479931C" w:rsidR="008A4560" w:rsidRPr="000634A4" w:rsidRDefault="008A4560" w:rsidP="008A4560">
            <w:pPr>
              <w:rPr>
                <w:snapToGrid w:val="0"/>
                <w:sz w:val="22"/>
                <w:szCs w:val="22"/>
              </w:rPr>
            </w:pPr>
            <w:r w:rsidRPr="000634A4">
              <w:rPr>
                <w:snapToGrid w:val="0"/>
                <w:sz w:val="22"/>
                <w:szCs w:val="22"/>
              </w:rPr>
              <w:t>Filed as Exhibit 10.56 to Form 10-K dated March 15, 2017</w:t>
            </w:r>
          </w:p>
        </w:tc>
      </w:tr>
      <w:tr w:rsidR="00284F34" w:rsidRPr="000634A4" w14:paraId="6D1E96A4" w14:textId="77777777" w:rsidTr="00220137">
        <w:trPr>
          <w:trHeight w:val="174"/>
        </w:trPr>
        <w:tc>
          <w:tcPr>
            <w:tcW w:w="884" w:type="dxa"/>
            <w:shd w:val="clear" w:color="auto" w:fill="auto"/>
          </w:tcPr>
          <w:p w14:paraId="4880B32D" w14:textId="77777777" w:rsidR="008A4560" w:rsidRPr="000634A4" w:rsidRDefault="008A4560" w:rsidP="008A4560">
            <w:pPr>
              <w:rPr>
                <w:snapToGrid w:val="0"/>
                <w:sz w:val="22"/>
                <w:szCs w:val="22"/>
              </w:rPr>
            </w:pPr>
          </w:p>
        </w:tc>
        <w:tc>
          <w:tcPr>
            <w:tcW w:w="4515" w:type="dxa"/>
            <w:shd w:val="clear" w:color="auto" w:fill="auto"/>
          </w:tcPr>
          <w:p w14:paraId="0C66A290" w14:textId="29051725" w:rsidR="008A4560" w:rsidRPr="000634A4" w:rsidRDefault="008A4560" w:rsidP="008A4560">
            <w:pPr>
              <w:rPr>
                <w:snapToGrid w:val="0"/>
                <w:sz w:val="22"/>
                <w:szCs w:val="22"/>
              </w:rPr>
            </w:pPr>
            <w:r w:rsidRPr="000634A4">
              <w:rPr>
                <w:snapToGrid w:val="0"/>
                <w:sz w:val="22"/>
                <w:szCs w:val="22"/>
              </w:rPr>
              <w:t>December 31, 2016 Grant, for Directors*</w:t>
            </w:r>
          </w:p>
        </w:tc>
        <w:tc>
          <w:tcPr>
            <w:tcW w:w="5410" w:type="dxa"/>
            <w:gridSpan w:val="2"/>
            <w:shd w:val="clear" w:color="auto" w:fill="auto"/>
          </w:tcPr>
          <w:p w14:paraId="5877204A" w14:textId="77777777" w:rsidR="008A4560" w:rsidRPr="000634A4" w:rsidRDefault="008A4560" w:rsidP="008A4560">
            <w:pPr>
              <w:rPr>
                <w:snapToGrid w:val="0"/>
                <w:sz w:val="22"/>
                <w:szCs w:val="22"/>
              </w:rPr>
            </w:pPr>
          </w:p>
        </w:tc>
      </w:tr>
      <w:tr w:rsidR="00284F34" w:rsidRPr="000634A4" w14:paraId="480BC4C6" w14:textId="77777777" w:rsidTr="00220137">
        <w:trPr>
          <w:trHeight w:val="174"/>
        </w:trPr>
        <w:tc>
          <w:tcPr>
            <w:tcW w:w="884" w:type="dxa"/>
            <w:shd w:val="clear" w:color="auto" w:fill="auto"/>
          </w:tcPr>
          <w:p w14:paraId="4985F0A9" w14:textId="77777777" w:rsidR="008A4560" w:rsidRPr="000634A4" w:rsidRDefault="008A4560" w:rsidP="008A4560">
            <w:pPr>
              <w:rPr>
                <w:snapToGrid w:val="0"/>
                <w:sz w:val="22"/>
                <w:szCs w:val="22"/>
              </w:rPr>
            </w:pPr>
          </w:p>
        </w:tc>
        <w:tc>
          <w:tcPr>
            <w:tcW w:w="4515" w:type="dxa"/>
            <w:shd w:val="clear" w:color="auto" w:fill="auto"/>
          </w:tcPr>
          <w:p w14:paraId="326E7091" w14:textId="77777777" w:rsidR="008A4560" w:rsidRPr="000634A4" w:rsidRDefault="008A4560" w:rsidP="008A4560">
            <w:pPr>
              <w:rPr>
                <w:snapToGrid w:val="0"/>
                <w:sz w:val="22"/>
                <w:szCs w:val="22"/>
              </w:rPr>
            </w:pPr>
          </w:p>
        </w:tc>
        <w:tc>
          <w:tcPr>
            <w:tcW w:w="5410" w:type="dxa"/>
            <w:gridSpan w:val="2"/>
            <w:shd w:val="clear" w:color="auto" w:fill="auto"/>
          </w:tcPr>
          <w:p w14:paraId="51E1371A" w14:textId="77777777" w:rsidR="008A4560" w:rsidRPr="000634A4" w:rsidRDefault="008A4560" w:rsidP="008A4560">
            <w:pPr>
              <w:rPr>
                <w:snapToGrid w:val="0"/>
                <w:sz w:val="22"/>
                <w:szCs w:val="22"/>
              </w:rPr>
            </w:pPr>
          </w:p>
        </w:tc>
      </w:tr>
      <w:tr w:rsidR="00284F34" w:rsidRPr="000634A4" w14:paraId="0F708AF5" w14:textId="77777777" w:rsidTr="00220137">
        <w:trPr>
          <w:gridAfter w:val="1"/>
          <w:wAfter w:w="14" w:type="dxa"/>
          <w:trHeight w:val="174"/>
        </w:trPr>
        <w:tc>
          <w:tcPr>
            <w:tcW w:w="884" w:type="dxa"/>
            <w:shd w:val="clear" w:color="auto" w:fill="auto"/>
          </w:tcPr>
          <w:p w14:paraId="0688C217" w14:textId="3D7EE143" w:rsidR="008A4560" w:rsidRPr="000634A4" w:rsidRDefault="008A4560" w:rsidP="008A4560">
            <w:pPr>
              <w:rPr>
                <w:snapToGrid w:val="0"/>
                <w:sz w:val="22"/>
                <w:szCs w:val="22"/>
              </w:rPr>
            </w:pPr>
            <w:r w:rsidRPr="000634A4">
              <w:rPr>
                <w:snapToGrid w:val="0"/>
                <w:sz w:val="22"/>
                <w:szCs w:val="22"/>
              </w:rPr>
              <w:t>10.</w:t>
            </w:r>
            <w:r w:rsidR="00ED7DBB" w:rsidRPr="000634A4">
              <w:rPr>
                <w:snapToGrid w:val="0"/>
                <w:sz w:val="22"/>
                <w:szCs w:val="22"/>
              </w:rPr>
              <w:t>8</w:t>
            </w:r>
          </w:p>
        </w:tc>
        <w:tc>
          <w:tcPr>
            <w:tcW w:w="4515" w:type="dxa"/>
            <w:shd w:val="clear" w:color="auto" w:fill="auto"/>
          </w:tcPr>
          <w:p w14:paraId="478A9DE2" w14:textId="4355AADA" w:rsidR="008A4560" w:rsidRPr="000634A4" w:rsidRDefault="008A4560" w:rsidP="008A4560">
            <w:pPr>
              <w:rPr>
                <w:snapToGrid w:val="0"/>
                <w:sz w:val="22"/>
                <w:szCs w:val="22"/>
              </w:rPr>
            </w:pPr>
            <w:r w:rsidRPr="000634A4">
              <w:rPr>
                <w:snapToGrid w:val="0"/>
                <w:sz w:val="22"/>
                <w:szCs w:val="22"/>
              </w:rPr>
              <w:t>Form of Stock Option Grant Letter</w:t>
            </w:r>
          </w:p>
        </w:tc>
        <w:tc>
          <w:tcPr>
            <w:tcW w:w="5396" w:type="dxa"/>
            <w:shd w:val="clear" w:color="auto" w:fill="auto"/>
          </w:tcPr>
          <w:p w14:paraId="2BD7C36A" w14:textId="2E2B60AD" w:rsidR="008A4560" w:rsidRPr="000634A4" w:rsidRDefault="008A4560" w:rsidP="008A4560">
            <w:pPr>
              <w:rPr>
                <w:snapToGrid w:val="0"/>
                <w:sz w:val="22"/>
                <w:szCs w:val="22"/>
              </w:rPr>
            </w:pPr>
            <w:r w:rsidRPr="000634A4">
              <w:rPr>
                <w:snapToGrid w:val="0"/>
                <w:sz w:val="22"/>
                <w:szCs w:val="22"/>
              </w:rPr>
              <w:t>Filed as Exhibit 10.57 to Form 10-K dated March 15, 2017</w:t>
            </w:r>
          </w:p>
        </w:tc>
      </w:tr>
      <w:tr w:rsidR="00284F34" w:rsidRPr="000634A4" w14:paraId="0FCA0FFB" w14:textId="77777777" w:rsidTr="00220137">
        <w:trPr>
          <w:trHeight w:val="174"/>
        </w:trPr>
        <w:tc>
          <w:tcPr>
            <w:tcW w:w="884" w:type="dxa"/>
            <w:shd w:val="clear" w:color="auto" w:fill="auto"/>
          </w:tcPr>
          <w:p w14:paraId="6B8F9D7C" w14:textId="77777777" w:rsidR="008A4560" w:rsidRPr="000634A4" w:rsidRDefault="008A4560" w:rsidP="008A4560">
            <w:pPr>
              <w:rPr>
                <w:snapToGrid w:val="0"/>
                <w:sz w:val="22"/>
                <w:szCs w:val="22"/>
              </w:rPr>
            </w:pPr>
          </w:p>
        </w:tc>
        <w:tc>
          <w:tcPr>
            <w:tcW w:w="4515" w:type="dxa"/>
            <w:shd w:val="clear" w:color="auto" w:fill="auto"/>
          </w:tcPr>
          <w:p w14:paraId="7F999EFF" w14:textId="5128A304" w:rsidR="008A4560" w:rsidRPr="000634A4" w:rsidRDefault="008A4560" w:rsidP="008A4560">
            <w:pPr>
              <w:rPr>
                <w:snapToGrid w:val="0"/>
                <w:sz w:val="22"/>
                <w:szCs w:val="22"/>
              </w:rPr>
            </w:pPr>
            <w:r w:rsidRPr="000634A4">
              <w:rPr>
                <w:snapToGrid w:val="0"/>
                <w:sz w:val="22"/>
                <w:szCs w:val="22"/>
              </w:rPr>
              <w:t>For December 31, 2016 Grant, for Messrs. Abuhoff, Mishra and Nalavadi*</w:t>
            </w:r>
          </w:p>
        </w:tc>
        <w:tc>
          <w:tcPr>
            <w:tcW w:w="5410" w:type="dxa"/>
            <w:gridSpan w:val="2"/>
            <w:shd w:val="clear" w:color="auto" w:fill="auto"/>
          </w:tcPr>
          <w:p w14:paraId="43758DB4" w14:textId="77777777" w:rsidR="008A4560" w:rsidRPr="000634A4" w:rsidRDefault="008A4560" w:rsidP="008A4560">
            <w:pPr>
              <w:rPr>
                <w:snapToGrid w:val="0"/>
                <w:sz w:val="22"/>
                <w:szCs w:val="22"/>
              </w:rPr>
            </w:pPr>
          </w:p>
        </w:tc>
      </w:tr>
      <w:tr w:rsidR="00284F34" w:rsidRPr="000634A4" w14:paraId="477E1851" w14:textId="77777777" w:rsidTr="00220137">
        <w:trPr>
          <w:trHeight w:val="174"/>
        </w:trPr>
        <w:tc>
          <w:tcPr>
            <w:tcW w:w="884" w:type="dxa"/>
            <w:shd w:val="clear" w:color="auto" w:fill="auto"/>
          </w:tcPr>
          <w:p w14:paraId="55D3BEA3" w14:textId="77777777" w:rsidR="008A4560" w:rsidRPr="000634A4" w:rsidRDefault="008A4560" w:rsidP="008A4560">
            <w:pPr>
              <w:rPr>
                <w:snapToGrid w:val="0"/>
                <w:sz w:val="22"/>
                <w:szCs w:val="22"/>
              </w:rPr>
            </w:pPr>
          </w:p>
        </w:tc>
        <w:tc>
          <w:tcPr>
            <w:tcW w:w="4515" w:type="dxa"/>
            <w:shd w:val="clear" w:color="auto" w:fill="auto"/>
          </w:tcPr>
          <w:p w14:paraId="374564BB" w14:textId="77777777" w:rsidR="008A4560" w:rsidRPr="000634A4" w:rsidRDefault="008A4560" w:rsidP="008A4560">
            <w:pPr>
              <w:rPr>
                <w:snapToGrid w:val="0"/>
                <w:sz w:val="22"/>
                <w:szCs w:val="22"/>
              </w:rPr>
            </w:pPr>
          </w:p>
        </w:tc>
        <w:tc>
          <w:tcPr>
            <w:tcW w:w="5410" w:type="dxa"/>
            <w:gridSpan w:val="2"/>
            <w:shd w:val="clear" w:color="auto" w:fill="auto"/>
          </w:tcPr>
          <w:p w14:paraId="7C363AE3" w14:textId="77777777" w:rsidR="008A4560" w:rsidRPr="000634A4" w:rsidRDefault="008A4560" w:rsidP="008A4560">
            <w:pPr>
              <w:rPr>
                <w:snapToGrid w:val="0"/>
                <w:sz w:val="22"/>
                <w:szCs w:val="22"/>
              </w:rPr>
            </w:pPr>
          </w:p>
        </w:tc>
      </w:tr>
      <w:tr w:rsidR="00284F34" w:rsidRPr="000634A4" w14:paraId="38611CA0" w14:textId="77777777" w:rsidTr="00220137">
        <w:trPr>
          <w:gridAfter w:val="1"/>
          <w:wAfter w:w="14" w:type="dxa"/>
          <w:trHeight w:val="174"/>
        </w:trPr>
        <w:tc>
          <w:tcPr>
            <w:tcW w:w="884" w:type="dxa"/>
            <w:shd w:val="clear" w:color="auto" w:fill="auto"/>
          </w:tcPr>
          <w:p w14:paraId="4B77AD06" w14:textId="4794999C" w:rsidR="008A4560" w:rsidRPr="000634A4" w:rsidRDefault="008A4560" w:rsidP="008A4560">
            <w:pPr>
              <w:rPr>
                <w:snapToGrid w:val="0"/>
                <w:sz w:val="22"/>
                <w:szCs w:val="22"/>
              </w:rPr>
            </w:pPr>
            <w:r w:rsidRPr="000634A4">
              <w:rPr>
                <w:snapToGrid w:val="0"/>
                <w:sz w:val="22"/>
                <w:szCs w:val="22"/>
              </w:rPr>
              <w:t>10.</w:t>
            </w:r>
            <w:r w:rsidR="00ED7DBB" w:rsidRPr="000634A4">
              <w:rPr>
                <w:snapToGrid w:val="0"/>
                <w:sz w:val="22"/>
                <w:szCs w:val="22"/>
              </w:rPr>
              <w:t>9</w:t>
            </w:r>
          </w:p>
        </w:tc>
        <w:tc>
          <w:tcPr>
            <w:tcW w:w="4515" w:type="dxa"/>
            <w:shd w:val="clear" w:color="auto" w:fill="auto"/>
          </w:tcPr>
          <w:p w14:paraId="32750AA1" w14:textId="77777777" w:rsidR="008A4560" w:rsidRPr="000634A4" w:rsidRDefault="008A4560" w:rsidP="008A4560">
            <w:pPr>
              <w:rPr>
                <w:snapToGrid w:val="0"/>
                <w:sz w:val="22"/>
                <w:szCs w:val="22"/>
              </w:rPr>
            </w:pPr>
            <w:r w:rsidRPr="000634A4">
              <w:rPr>
                <w:snapToGrid w:val="0"/>
                <w:sz w:val="22"/>
                <w:szCs w:val="22"/>
              </w:rPr>
              <w:t>Amendment Number 1 dated August 24, 2018 to Agreement dated January 1, 2007 between the Company and Mr. Mishra*</w:t>
            </w:r>
          </w:p>
          <w:p w14:paraId="271F934B" w14:textId="77777777" w:rsidR="008A4560" w:rsidRPr="000634A4" w:rsidRDefault="008A4560" w:rsidP="008A4560">
            <w:pPr>
              <w:rPr>
                <w:snapToGrid w:val="0"/>
                <w:sz w:val="22"/>
                <w:szCs w:val="22"/>
              </w:rPr>
            </w:pPr>
          </w:p>
        </w:tc>
        <w:tc>
          <w:tcPr>
            <w:tcW w:w="5396" w:type="dxa"/>
            <w:shd w:val="clear" w:color="auto" w:fill="auto"/>
          </w:tcPr>
          <w:p w14:paraId="01626FA1" w14:textId="2FA6A31A" w:rsidR="008A4560" w:rsidRPr="000634A4" w:rsidRDefault="008A4560" w:rsidP="008A4560">
            <w:pPr>
              <w:rPr>
                <w:snapToGrid w:val="0"/>
                <w:sz w:val="22"/>
                <w:szCs w:val="22"/>
              </w:rPr>
            </w:pPr>
            <w:r w:rsidRPr="000634A4">
              <w:rPr>
                <w:snapToGrid w:val="0"/>
                <w:sz w:val="22"/>
                <w:szCs w:val="22"/>
              </w:rPr>
              <w:t>Filed as Exhibit 10.1 to Form 8-K dated August 28, 2018</w:t>
            </w:r>
          </w:p>
        </w:tc>
      </w:tr>
      <w:tr w:rsidR="00284F34" w:rsidRPr="000634A4" w14:paraId="1613BB2B" w14:textId="77777777" w:rsidTr="00220137">
        <w:trPr>
          <w:gridAfter w:val="1"/>
          <w:wAfter w:w="14" w:type="dxa"/>
          <w:trHeight w:val="174"/>
        </w:trPr>
        <w:tc>
          <w:tcPr>
            <w:tcW w:w="884" w:type="dxa"/>
            <w:shd w:val="clear" w:color="auto" w:fill="auto"/>
          </w:tcPr>
          <w:p w14:paraId="0093F541" w14:textId="3B97B76D" w:rsidR="008A4560" w:rsidRPr="000634A4" w:rsidRDefault="008A4560" w:rsidP="008A4560">
            <w:pPr>
              <w:rPr>
                <w:snapToGrid w:val="0"/>
                <w:sz w:val="22"/>
                <w:szCs w:val="22"/>
              </w:rPr>
            </w:pPr>
            <w:r w:rsidRPr="000634A4">
              <w:rPr>
                <w:snapToGrid w:val="0"/>
                <w:sz w:val="22"/>
                <w:szCs w:val="22"/>
              </w:rPr>
              <w:t>10.1</w:t>
            </w:r>
            <w:r w:rsidR="00ED7DBB" w:rsidRPr="000634A4">
              <w:rPr>
                <w:snapToGrid w:val="0"/>
                <w:sz w:val="22"/>
                <w:szCs w:val="22"/>
              </w:rPr>
              <w:t>0</w:t>
            </w:r>
          </w:p>
        </w:tc>
        <w:tc>
          <w:tcPr>
            <w:tcW w:w="4515" w:type="dxa"/>
            <w:shd w:val="clear" w:color="auto" w:fill="auto"/>
          </w:tcPr>
          <w:p w14:paraId="4734765C" w14:textId="26CBFB4E" w:rsidR="008A4560" w:rsidRPr="000634A4" w:rsidRDefault="008A4560" w:rsidP="008A4560">
            <w:pPr>
              <w:rPr>
                <w:snapToGrid w:val="0"/>
                <w:sz w:val="22"/>
                <w:szCs w:val="22"/>
              </w:rPr>
            </w:pPr>
            <w:r w:rsidRPr="000634A4">
              <w:rPr>
                <w:snapToGrid w:val="0"/>
                <w:sz w:val="22"/>
                <w:szCs w:val="22"/>
              </w:rPr>
              <w:t xml:space="preserve">Form of Stock Option Grant Letter for </w:t>
            </w:r>
          </w:p>
        </w:tc>
        <w:tc>
          <w:tcPr>
            <w:tcW w:w="5396" w:type="dxa"/>
            <w:shd w:val="clear" w:color="auto" w:fill="auto"/>
          </w:tcPr>
          <w:p w14:paraId="42AD86A8" w14:textId="7A74B786" w:rsidR="008A4560" w:rsidRPr="000634A4" w:rsidRDefault="008A4560" w:rsidP="008A4560">
            <w:pPr>
              <w:rPr>
                <w:snapToGrid w:val="0"/>
                <w:sz w:val="22"/>
                <w:szCs w:val="22"/>
              </w:rPr>
            </w:pPr>
            <w:r w:rsidRPr="000634A4">
              <w:rPr>
                <w:snapToGrid w:val="0"/>
                <w:sz w:val="22"/>
                <w:szCs w:val="22"/>
              </w:rPr>
              <w:t>Filed as Exhibit 10.59 to Form 10-K dated March 26, 2019</w:t>
            </w:r>
          </w:p>
        </w:tc>
      </w:tr>
      <w:tr w:rsidR="00284F34" w:rsidRPr="000634A4" w14:paraId="34575CC1" w14:textId="77777777" w:rsidTr="00220137">
        <w:trPr>
          <w:trHeight w:val="174"/>
        </w:trPr>
        <w:tc>
          <w:tcPr>
            <w:tcW w:w="884" w:type="dxa"/>
            <w:shd w:val="clear" w:color="auto" w:fill="auto"/>
          </w:tcPr>
          <w:p w14:paraId="0E0015D3" w14:textId="77777777" w:rsidR="008A4560" w:rsidRPr="000634A4" w:rsidRDefault="008A4560" w:rsidP="008A4560">
            <w:pPr>
              <w:rPr>
                <w:snapToGrid w:val="0"/>
                <w:sz w:val="22"/>
                <w:szCs w:val="22"/>
              </w:rPr>
            </w:pPr>
          </w:p>
        </w:tc>
        <w:tc>
          <w:tcPr>
            <w:tcW w:w="4515" w:type="dxa"/>
            <w:shd w:val="clear" w:color="auto" w:fill="auto"/>
          </w:tcPr>
          <w:p w14:paraId="3451F1C8" w14:textId="6AB187DD" w:rsidR="008A4560" w:rsidRPr="000634A4" w:rsidRDefault="008A4560" w:rsidP="008A4560">
            <w:pPr>
              <w:rPr>
                <w:snapToGrid w:val="0"/>
                <w:sz w:val="22"/>
                <w:szCs w:val="22"/>
              </w:rPr>
            </w:pPr>
            <w:r w:rsidRPr="000634A4">
              <w:rPr>
                <w:snapToGrid w:val="0"/>
                <w:sz w:val="22"/>
                <w:szCs w:val="22"/>
              </w:rPr>
              <w:t>July 13, 2018 Grant, for Directors*</w:t>
            </w:r>
          </w:p>
        </w:tc>
        <w:tc>
          <w:tcPr>
            <w:tcW w:w="5410" w:type="dxa"/>
            <w:gridSpan w:val="2"/>
            <w:shd w:val="clear" w:color="auto" w:fill="auto"/>
          </w:tcPr>
          <w:p w14:paraId="46B54CFD" w14:textId="77777777" w:rsidR="008A4560" w:rsidRPr="000634A4" w:rsidRDefault="008A4560" w:rsidP="008A4560">
            <w:pPr>
              <w:rPr>
                <w:snapToGrid w:val="0"/>
                <w:sz w:val="22"/>
                <w:szCs w:val="22"/>
              </w:rPr>
            </w:pPr>
          </w:p>
        </w:tc>
      </w:tr>
      <w:tr w:rsidR="00284F34" w:rsidRPr="000634A4" w14:paraId="520E13B0" w14:textId="77777777" w:rsidTr="00220137">
        <w:trPr>
          <w:trHeight w:val="174"/>
        </w:trPr>
        <w:tc>
          <w:tcPr>
            <w:tcW w:w="884" w:type="dxa"/>
            <w:shd w:val="clear" w:color="auto" w:fill="auto"/>
          </w:tcPr>
          <w:p w14:paraId="168E1F99" w14:textId="77777777" w:rsidR="008A4560" w:rsidRPr="000634A4" w:rsidRDefault="008A4560" w:rsidP="008A4560">
            <w:pPr>
              <w:rPr>
                <w:snapToGrid w:val="0"/>
                <w:sz w:val="22"/>
                <w:szCs w:val="22"/>
              </w:rPr>
            </w:pPr>
          </w:p>
        </w:tc>
        <w:tc>
          <w:tcPr>
            <w:tcW w:w="4515" w:type="dxa"/>
            <w:shd w:val="clear" w:color="auto" w:fill="auto"/>
          </w:tcPr>
          <w:p w14:paraId="655EEEFF" w14:textId="77777777" w:rsidR="008A4560" w:rsidRPr="000634A4" w:rsidRDefault="008A4560" w:rsidP="008A4560">
            <w:pPr>
              <w:rPr>
                <w:snapToGrid w:val="0"/>
                <w:sz w:val="22"/>
                <w:szCs w:val="22"/>
              </w:rPr>
            </w:pPr>
          </w:p>
        </w:tc>
        <w:tc>
          <w:tcPr>
            <w:tcW w:w="5410" w:type="dxa"/>
            <w:gridSpan w:val="2"/>
            <w:shd w:val="clear" w:color="auto" w:fill="auto"/>
          </w:tcPr>
          <w:p w14:paraId="0603923E" w14:textId="77777777" w:rsidR="008A4560" w:rsidRPr="000634A4" w:rsidRDefault="008A4560" w:rsidP="008A4560">
            <w:pPr>
              <w:rPr>
                <w:snapToGrid w:val="0"/>
                <w:sz w:val="22"/>
                <w:szCs w:val="22"/>
              </w:rPr>
            </w:pPr>
          </w:p>
        </w:tc>
      </w:tr>
      <w:tr w:rsidR="00284F34" w:rsidRPr="000634A4" w14:paraId="4D041FBA" w14:textId="77777777" w:rsidTr="00220137">
        <w:trPr>
          <w:gridAfter w:val="1"/>
          <w:wAfter w:w="14" w:type="dxa"/>
          <w:trHeight w:val="174"/>
        </w:trPr>
        <w:tc>
          <w:tcPr>
            <w:tcW w:w="884" w:type="dxa"/>
            <w:shd w:val="clear" w:color="auto" w:fill="auto"/>
          </w:tcPr>
          <w:p w14:paraId="01162580" w14:textId="2AD5E072" w:rsidR="008A4560" w:rsidRPr="000634A4" w:rsidRDefault="008A4560" w:rsidP="008A4560">
            <w:pPr>
              <w:rPr>
                <w:snapToGrid w:val="0"/>
                <w:sz w:val="22"/>
                <w:szCs w:val="22"/>
              </w:rPr>
            </w:pPr>
            <w:r w:rsidRPr="000634A4">
              <w:rPr>
                <w:snapToGrid w:val="0"/>
                <w:sz w:val="22"/>
                <w:szCs w:val="22"/>
              </w:rPr>
              <w:t>10.</w:t>
            </w:r>
            <w:r w:rsidR="00ED7DBB" w:rsidRPr="000634A4">
              <w:rPr>
                <w:snapToGrid w:val="0"/>
                <w:sz w:val="22"/>
                <w:szCs w:val="22"/>
              </w:rPr>
              <w:t>11</w:t>
            </w:r>
          </w:p>
        </w:tc>
        <w:tc>
          <w:tcPr>
            <w:tcW w:w="4515" w:type="dxa"/>
            <w:shd w:val="clear" w:color="auto" w:fill="auto"/>
          </w:tcPr>
          <w:p w14:paraId="49A95BD1" w14:textId="37B6109D" w:rsidR="008A4560" w:rsidRPr="000634A4" w:rsidRDefault="008A4560" w:rsidP="008A4560">
            <w:pPr>
              <w:rPr>
                <w:snapToGrid w:val="0"/>
                <w:sz w:val="22"/>
                <w:szCs w:val="22"/>
              </w:rPr>
            </w:pPr>
            <w:r w:rsidRPr="000634A4">
              <w:rPr>
                <w:snapToGrid w:val="0"/>
                <w:sz w:val="22"/>
                <w:szCs w:val="22"/>
              </w:rPr>
              <w:t>Form of Stock Option Grant Letter</w:t>
            </w:r>
          </w:p>
        </w:tc>
        <w:tc>
          <w:tcPr>
            <w:tcW w:w="5396" w:type="dxa"/>
            <w:shd w:val="clear" w:color="auto" w:fill="auto"/>
          </w:tcPr>
          <w:p w14:paraId="0134433D" w14:textId="5EA81D04" w:rsidR="008A4560" w:rsidRPr="000634A4" w:rsidRDefault="008A4560" w:rsidP="008A4560">
            <w:pPr>
              <w:rPr>
                <w:snapToGrid w:val="0"/>
                <w:sz w:val="22"/>
                <w:szCs w:val="22"/>
              </w:rPr>
            </w:pPr>
            <w:r w:rsidRPr="000634A4">
              <w:rPr>
                <w:snapToGrid w:val="0"/>
                <w:sz w:val="22"/>
                <w:szCs w:val="22"/>
              </w:rPr>
              <w:t>Filed as Exhibit 10.60 to Form 10-K dated March 26, 2019</w:t>
            </w:r>
          </w:p>
        </w:tc>
      </w:tr>
      <w:tr w:rsidR="00284F34" w:rsidRPr="000634A4" w14:paraId="0362C28D" w14:textId="77777777" w:rsidTr="00220137">
        <w:trPr>
          <w:trHeight w:val="174"/>
        </w:trPr>
        <w:tc>
          <w:tcPr>
            <w:tcW w:w="884" w:type="dxa"/>
            <w:shd w:val="clear" w:color="auto" w:fill="auto"/>
          </w:tcPr>
          <w:p w14:paraId="3241EEA0" w14:textId="77777777" w:rsidR="008A4560" w:rsidRPr="000634A4" w:rsidRDefault="008A4560" w:rsidP="008A4560">
            <w:pPr>
              <w:rPr>
                <w:snapToGrid w:val="0"/>
                <w:sz w:val="22"/>
                <w:szCs w:val="22"/>
              </w:rPr>
            </w:pPr>
          </w:p>
        </w:tc>
        <w:tc>
          <w:tcPr>
            <w:tcW w:w="4515" w:type="dxa"/>
            <w:shd w:val="clear" w:color="auto" w:fill="auto"/>
          </w:tcPr>
          <w:p w14:paraId="216FF0A6" w14:textId="354810C2" w:rsidR="008A4560" w:rsidRPr="000634A4" w:rsidRDefault="008A4560" w:rsidP="00EF3824">
            <w:pPr>
              <w:rPr>
                <w:snapToGrid w:val="0"/>
                <w:sz w:val="22"/>
                <w:szCs w:val="22"/>
              </w:rPr>
            </w:pPr>
            <w:r w:rsidRPr="000634A4">
              <w:rPr>
                <w:snapToGrid w:val="0"/>
                <w:sz w:val="22"/>
                <w:szCs w:val="22"/>
              </w:rPr>
              <w:t xml:space="preserve">for July 13, 2018 Grant, for Messrs. Abuhoff and Mishra* </w:t>
            </w:r>
          </w:p>
        </w:tc>
        <w:tc>
          <w:tcPr>
            <w:tcW w:w="5410" w:type="dxa"/>
            <w:gridSpan w:val="2"/>
            <w:shd w:val="clear" w:color="auto" w:fill="auto"/>
          </w:tcPr>
          <w:p w14:paraId="5E6FD59D" w14:textId="77777777" w:rsidR="008A4560" w:rsidRPr="000634A4" w:rsidRDefault="008A4560" w:rsidP="008A4560">
            <w:pPr>
              <w:rPr>
                <w:snapToGrid w:val="0"/>
                <w:sz w:val="22"/>
                <w:szCs w:val="22"/>
              </w:rPr>
            </w:pPr>
          </w:p>
        </w:tc>
      </w:tr>
      <w:tr w:rsidR="00284F34" w:rsidRPr="000634A4" w14:paraId="07A308A4" w14:textId="77777777" w:rsidTr="00220137">
        <w:trPr>
          <w:gridAfter w:val="1"/>
          <w:wAfter w:w="14" w:type="dxa"/>
          <w:trHeight w:val="174"/>
        </w:trPr>
        <w:tc>
          <w:tcPr>
            <w:tcW w:w="884" w:type="dxa"/>
            <w:shd w:val="clear" w:color="auto" w:fill="auto"/>
          </w:tcPr>
          <w:p w14:paraId="7ECE5EE1" w14:textId="6A104908" w:rsidR="008A4560" w:rsidRPr="000634A4" w:rsidRDefault="008A4560" w:rsidP="008A4560">
            <w:pPr>
              <w:rPr>
                <w:snapToGrid w:val="0"/>
                <w:sz w:val="22"/>
                <w:szCs w:val="22"/>
              </w:rPr>
            </w:pPr>
          </w:p>
        </w:tc>
        <w:tc>
          <w:tcPr>
            <w:tcW w:w="4515" w:type="dxa"/>
            <w:shd w:val="clear" w:color="auto" w:fill="auto"/>
          </w:tcPr>
          <w:p w14:paraId="4E1ADEC4" w14:textId="4CD06EFC" w:rsidR="008A4560" w:rsidRPr="000634A4" w:rsidRDefault="008A4560" w:rsidP="008A4560">
            <w:pPr>
              <w:rPr>
                <w:snapToGrid w:val="0"/>
                <w:sz w:val="22"/>
                <w:szCs w:val="22"/>
              </w:rPr>
            </w:pPr>
          </w:p>
        </w:tc>
        <w:tc>
          <w:tcPr>
            <w:tcW w:w="5396" w:type="dxa"/>
            <w:shd w:val="clear" w:color="auto" w:fill="auto"/>
          </w:tcPr>
          <w:p w14:paraId="77E0D6F2" w14:textId="733E8F0A" w:rsidR="008A4560" w:rsidRPr="000634A4" w:rsidRDefault="008A4560" w:rsidP="008A4560">
            <w:pPr>
              <w:rPr>
                <w:snapToGrid w:val="0"/>
                <w:sz w:val="22"/>
                <w:szCs w:val="22"/>
              </w:rPr>
            </w:pPr>
          </w:p>
        </w:tc>
      </w:tr>
      <w:tr w:rsidR="00284F34" w:rsidRPr="000634A4" w14:paraId="015AC67D" w14:textId="77777777" w:rsidTr="00220137">
        <w:trPr>
          <w:gridAfter w:val="1"/>
          <w:wAfter w:w="14" w:type="dxa"/>
          <w:trHeight w:val="174"/>
        </w:trPr>
        <w:tc>
          <w:tcPr>
            <w:tcW w:w="884" w:type="dxa"/>
            <w:shd w:val="clear" w:color="auto" w:fill="auto"/>
          </w:tcPr>
          <w:p w14:paraId="32A2266D" w14:textId="77647C04" w:rsidR="00B34A87" w:rsidRPr="000634A4" w:rsidRDefault="00B34A87" w:rsidP="008A4560">
            <w:pPr>
              <w:rPr>
                <w:snapToGrid w:val="0"/>
                <w:sz w:val="22"/>
                <w:szCs w:val="22"/>
              </w:rPr>
            </w:pPr>
            <w:r w:rsidRPr="000634A4">
              <w:rPr>
                <w:snapToGrid w:val="0"/>
                <w:sz w:val="22"/>
                <w:szCs w:val="22"/>
              </w:rPr>
              <w:t>10.</w:t>
            </w:r>
            <w:r w:rsidR="000372F4" w:rsidRPr="000634A4">
              <w:rPr>
                <w:snapToGrid w:val="0"/>
                <w:sz w:val="22"/>
                <w:szCs w:val="22"/>
              </w:rPr>
              <w:t>1</w:t>
            </w:r>
            <w:r w:rsidR="00ED7DBB" w:rsidRPr="000634A4">
              <w:rPr>
                <w:snapToGrid w:val="0"/>
                <w:sz w:val="22"/>
                <w:szCs w:val="22"/>
              </w:rPr>
              <w:t>2</w:t>
            </w:r>
          </w:p>
          <w:p w14:paraId="799A79AB" w14:textId="6B157E7B" w:rsidR="00B34A87" w:rsidRPr="000634A4" w:rsidRDefault="00B34A87" w:rsidP="008A4560">
            <w:pPr>
              <w:rPr>
                <w:snapToGrid w:val="0"/>
                <w:sz w:val="22"/>
                <w:szCs w:val="22"/>
              </w:rPr>
            </w:pPr>
          </w:p>
        </w:tc>
        <w:tc>
          <w:tcPr>
            <w:tcW w:w="4515" w:type="dxa"/>
            <w:shd w:val="clear" w:color="auto" w:fill="auto"/>
          </w:tcPr>
          <w:p w14:paraId="363A7DB9" w14:textId="31566073" w:rsidR="00B34A87" w:rsidRPr="000634A4" w:rsidRDefault="00B34A87" w:rsidP="008A4560">
            <w:pPr>
              <w:rPr>
                <w:sz w:val="22"/>
                <w:szCs w:val="22"/>
              </w:rPr>
            </w:pPr>
            <w:r w:rsidRPr="000634A4">
              <w:rPr>
                <w:sz w:val="22"/>
                <w:szCs w:val="22"/>
              </w:rPr>
              <w:t>Innodata Inc. 2021 Equity Compensation Plan</w:t>
            </w:r>
            <w:r w:rsidR="00473ABE" w:rsidRPr="000634A4">
              <w:rPr>
                <w:sz w:val="22"/>
                <w:szCs w:val="22"/>
              </w:rPr>
              <w:t xml:space="preserve">, </w:t>
            </w:r>
            <w:r w:rsidR="008D439B" w:rsidRPr="000634A4">
              <w:rPr>
                <w:sz w:val="22"/>
                <w:szCs w:val="22"/>
              </w:rPr>
              <w:t>amended and restated effective as of April 11, 2022</w:t>
            </w:r>
            <w:r w:rsidR="00473ABE" w:rsidRPr="000634A4">
              <w:rPr>
                <w:sz w:val="22"/>
                <w:szCs w:val="22"/>
              </w:rPr>
              <w:t xml:space="preserve"> </w:t>
            </w:r>
          </w:p>
        </w:tc>
        <w:tc>
          <w:tcPr>
            <w:tcW w:w="5396" w:type="dxa"/>
            <w:shd w:val="clear" w:color="auto" w:fill="auto"/>
          </w:tcPr>
          <w:p w14:paraId="600CB488" w14:textId="64F6B025" w:rsidR="00B34A87" w:rsidRPr="000634A4" w:rsidRDefault="005843AF" w:rsidP="008A4560">
            <w:pPr>
              <w:rPr>
                <w:snapToGrid w:val="0"/>
                <w:sz w:val="22"/>
                <w:szCs w:val="22"/>
              </w:rPr>
            </w:pPr>
            <w:r w:rsidRPr="000634A4">
              <w:rPr>
                <w:snapToGrid w:val="0"/>
                <w:sz w:val="22"/>
                <w:szCs w:val="22"/>
              </w:rPr>
              <w:t xml:space="preserve">Filed as Appendix A to Definitive Proxy Statement dated April </w:t>
            </w:r>
            <w:r w:rsidR="008D439B" w:rsidRPr="000634A4">
              <w:rPr>
                <w:snapToGrid w:val="0"/>
                <w:sz w:val="22"/>
                <w:szCs w:val="22"/>
              </w:rPr>
              <w:t>26, 2022</w:t>
            </w:r>
            <w:r w:rsidRPr="000634A4">
              <w:rPr>
                <w:snapToGrid w:val="0"/>
                <w:sz w:val="22"/>
                <w:szCs w:val="22"/>
              </w:rPr>
              <w:t xml:space="preserve"> </w:t>
            </w:r>
          </w:p>
          <w:p w14:paraId="7CF5EB8F" w14:textId="49CD323A" w:rsidR="0046659B" w:rsidRPr="000634A4" w:rsidRDefault="0046659B" w:rsidP="008A4560">
            <w:pPr>
              <w:rPr>
                <w:snapToGrid w:val="0"/>
                <w:sz w:val="22"/>
                <w:szCs w:val="22"/>
              </w:rPr>
            </w:pPr>
          </w:p>
        </w:tc>
      </w:tr>
      <w:tr w:rsidR="000372F4" w:rsidRPr="000634A4" w14:paraId="0E147C90" w14:textId="77777777" w:rsidTr="00220137">
        <w:trPr>
          <w:gridAfter w:val="1"/>
          <w:wAfter w:w="14" w:type="dxa"/>
          <w:trHeight w:val="174"/>
        </w:trPr>
        <w:tc>
          <w:tcPr>
            <w:tcW w:w="884" w:type="dxa"/>
            <w:shd w:val="clear" w:color="auto" w:fill="auto"/>
          </w:tcPr>
          <w:p w14:paraId="694C8D53" w14:textId="77777777" w:rsidR="000372F4" w:rsidRPr="000634A4" w:rsidRDefault="000372F4" w:rsidP="008A4560">
            <w:pPr>
              <w:rPr>
                <w:snapToGrid w:val="0"/>
                <w:sz w:val="22"/>
                <w:szCs w:val="22"/>
              </w:rPr>
            </w:pPr>
          </w:p>
        </w:tc>
        <w:tc>
          <w:tcPr>
            <w:tcW w:w="4515" w:type="dxa"/>
            <w:shd w:val="clear" w:color="auto" w:fill="auto"/>
          </w:tcPr>
          <w:p w14:paraId="38D68DC8" w14:textId="77777777" w:rsidR="000372F4" w:rsidRPr="000634A4" w:rsidRDefault="000372F4" w:rsidP="00B34A87">
            <w:pPr>
              <w:rPr>
                <w:sz w:val="22"/>
                <w:szCs w:val="22"/>
                <w:shd w:val="clear" w:color="auto" w:fill="FFFFFF"/>
              </w:rPr>
            </w:pPr>
          </w:p>
        </w:tc>
        <w:tc>
          <w:tcPr>
            <w:tcW w:w="5396" w:type="dxa"/>
            <w:shd w:val="clear" w:color="auto" w:fill="auto"/>
          </w:tcPr>
          <w:p w14:paraId="1A0A0953" w14:textId="77777777" w:rsidR="000372F4" w:rsidRPr="000634A4" w:rsidRDefault="000372F4" w:rsidP="008A4560">
            <w:pPr>
              <w:rPr>
                <w:snapToGrid w:val="0"/>
                <w:sz w:val="22"/>
                <w:szCs w:val="22"/>
              </w:rPr>
            </w:pPr>
          </w:p>
        </w:tc>
      </w:tr>
      <w:tr w:rsidR="00284F34" w:rsidRPr="000634A4" w14:paraId="17DCF1B2" w14:textId="77777777" w:rsidTr="00220137">
        <w:trPr>
          <w:gridAfter w:val="1"/>
          <w:wAfter w:w="14" w:type="dxa"/>
          <w:trHeight w:val="174"/>
        </w:trPr>
        <w:tc>
          <w:tcPr>
            <w:tcW w:w="884" w:type="dxa"/>
            <w:shd w:val="clear" w:color="auto" w:fill="auto"/>
          </w:tcPr>
          <w:p w14:paraId="34AC0812" w14:textId="66D05DAC" w:rsidR="00FF7EA7" w:rsidRPr="000634A4" w:rsidRDefault="00B34A87" w:rsidP="008A4560">
            <w:pPr>
              <w:rPr>
                <w:b/>
                <w:bCs/>
                <w:snapToGrid w:val="0"/>
                <w:sz w:val="22"/>
                <w:szCs w:val="22"/>
              </w:rPr>
            </w:pPr>
            <w:r w:rsidRPr="000634A4">
              <w:rPr>
                <w:snapToGrid w:val="0"/>
                <w:sz w:val="22"/>
                <w:szCs w:val="22"/>
              </w:rPr>
              <w:t>10.</w:t>
            </w:r>
            <w:r w:rsidR="000372F4" w:rsidRPr="000634A4">
              <w:rPr>
                <w:snapToGrid w:val="0"/>
                <w:sz w:val="22"/>
                <w:szCs w:val="22"/>
              </w:rPr>
              <w:t>1</w:t>
            </w:r>
            <w:r w:rsidR="00ED7DBB" w:rsidRPr="000634A4">
              <w:rPr>
                <w:snapToGrid w:val="0"/>
                <w:sz w:val="22"/>
                <w:szCs w:val="22"/>
              </w:rPr>
              <w:t>3</w:t>
            </w:r>
          </w:p>
        </w:tc>
        <w:tc>
          <w:tcPr>
            <w:tcW w:w="4515" w:type="dxa"/>
            <w:shd w:val="clear" w:color="auto" w:fill="auto"/>
          </w:tcPr>
          <w:p w14:paraId="1C1D834A" w14:textId="6CB043D1" w:rsidR="00B34A87" w:rsidRPr="000634A4" w:rsidRDefault="00B34A87" w:rsidP="00B34A87">
            <w:pPr>
              <w:rPr>
                <w:sz w:val="22"/>
                <w:szCs w:val="22"/>
              </w:rPr>
            </w:pPr>
            <w:r w:rsidRPr="000634A4">
              <w:rPr>
                <w:sz w:val="22"/>
                <w:szCs w:val="22"/>
                <w:shd w:val="clear" w:color="auto" w:fill="FFFFFF"/>
              </w:rPr>
              <w:t>Form of Innodata Inc. 2021 Equity Compensation Plan Nonqualified Stock Option Award Agreement for Employees</w:t>
            </w:r>
            <w:r w:rsidR="005843AF" w:rsidRPr="000634A4">
              <w:rPr>
                <w:sz w:val="22"/>
                <w:szCs w:val="22"/>
              </w:rPr>
              <w:t>*</w:t>
            </w:r>
          </w:p>
          <w:p w14:paraId="46BE57D5" w14:textId="77777777" w:rsidR="00FF7EA7" w:rsidRPr="000634A4" w:rsidRDefault="00FF7EA7" w:rsidP="008A4560">
            <w:pPr>
              <w:rPr>
                <w:sz w:val="22"/>
                <w:szCs w:val="22"/>
              </w:rPr>
            </w:pPr>
          </w:p>
        </w:tc>
        <w:tc>
          <w:tcPr>
            <w:tcW w:w="5396" w:type="dxa"/>
            <w:shd w:val="clear" w:color="auto" w:fill="auto"/>
          </w:tcPr>
          <w:p w14:paraId="0F3C5030" w14:textId="08713A5F" w:rsidR="00FF7EA7" w:rsidRPr="000634A4" w:rsidRDefault="005843AF" w:rsidP="008A4560">
            <w:pPr>
              <w:rPr>
                <w:snapToGrid w:val="0"/>
                <w:sz w:val="22"/>
                <w:szCs w:val="22"/>
              </w:rPr>
            </w:pPr>
            <w:r w:rsidRPr="000634A4">
              <w:rPr>
                <w:snapToGrid w:val="0"/>
                <w:sz w:val="22"/>
                <w:szCs w:val="22"/>
              </w:rPr>
              <w:t>Filed as Exhibit 10.1 to S-8 Registration Statement dated June 16, 2021</w:t>
            </w:r>
          </w:p>
        </w:tc>
      </w:tr>
      <w:tr w:rsidR="00284F34" w:rsidRPr="000634A4" w14:paraId="759D8194" w14:textId="77777777" w:rsidTr="00220137">
        <w:trPr>
          <w:gridAfter w:val="1"/>
          <w:wAfter w:w="14" w:type="dxa"/>
          <w:trHeight w:val="174"/>
        </w:trPr>
        <w:tc>
          <w:tcPr>
            <w:tcW w:w="884" w:type="dxa"/>
            <w:shd w:val="clear" w:color="auto" w:fill="auto"/>
          </w:tcPr>
          <w:p w14:paraId="17D53235" w14:textId="62A66E58" w:rsidR="00FF7EA7" w:rsidRPr="000634A4" w:rsidRDefault="00B34A87" w:rsidP="008A4560">
            <w:pPr>
              <w:rPr>
                <w:snapToGrid w:val="0"/>
                <w:sz w:val="22"/>
                <w:szCs w:val="22"/>
              </w:rPr>
            </w:pPr>
            <w:r w:rsidRPr="000634A4">
              <w:rPr>
                <w:snapToGrid w:val="0"/>
                <w:sz w:val="22"/>
                <w:szCs w:val="22"/>
              </w:rPr>
              <w:t>10.</w:t>
            </w:r>
            <w:r w:rsidR="000372F4" w:rsidRPr="000634A4">
              <w:rPr>
                <w:snapToGrid w:val="0"/>
                <w:sz w:val="22"/>
                <w:szCs w:val="22"/>
              </w:rPr>
              <w:t>1</w:t>
            </w:r>
            <w:r w:rsidR="00ED7DBB" w:rsidRPr="000634A4">
              <w:rPr>
                <w:snapToGrid w:val="0"/>
                <w:sz w:val="22"/>
                <w:szCs w:val="22"/>
              </w:rPr>
              <w:t>4</w:t>
            </w:r>
          </w:p>
        </w:tc>
        <w:tc>
          <w:tcPr>
            <w:tcW w:w="4515" w:type="dxa"/>
            <w:shd w:val="clear" w:color="auto" w:fill="auto"/>
          </w:tcPr>
          <w:p w14:paraId="6F412F5C" w14:textId="2FD4486A" w:rsidR="00B34A87" w:rsidRPr="000634A4" w:rsidRDefault="00690CDD" w:rsidP="00B34A87">
            <w:pPr>
              <w:rPr>
                <w:sz w:val="22"/>
                <w:szCs w:val="22"/>
              </w:rPr>
            </w:pPr>
            <w:hyperlink r:id="rId76" w:history="1">
              <w:r w:rsidR="00B34A87" w:rsidRPr="000634A4">
                <w:rPr>
                  <w:rStyle w:val="Hyperlink"/>
                  <w:sz w:val="22"/>
                  <w:szCs w:val="22"/>
                  <w:shd w:val="clear" w:color="auto" w:fill="FFFFFF"/>
                </w:rPr>
                <w:t>Form of Innodata Inc. 2021 Equity Compensation Plan Nonqualified Stock Option Award Agreement for Directors</w:t>
              </w:r>
            </w:hyperlink>
            <w:r w:rsidR="0046659B" w:rsidRPr="000634A4">
              <w:rPr>
                <w:sz w:val="22"/>
                <w:szCs w:val="22"/>
              </w:rPr>
              <w:t>*</w:t>
            </w:r>
          </w:p>
          <w:p w14:paraId="68F3E14F" w14:textId="77777777" w:rsidR="00FF7EA7" w:rsidRPr="000634A4" w:rsidRDefault="00FF7EA7" w:rsidP="008A4560">
            <w:pPr>
              <w:rPr>
                <w:sz w:val="22"/>
                <w:szCs w:val="22"/>
              </w:rPr>
            </w:pPr>
          </w:p>
        </w:tc>
        <w:tc>
          <w:tcPr>
            <w:tcW w:w="5396" w:type="dxa"/>
            <w:shd w:val="clear" w:color="auto" w:fill="auto"/>
          </w:tcPr>
          <w:p w14:paraId="6F178D88" w14:textId="28AEBE25" w:rsidR="00FF7EA7" w:rsidRPr="000634A4" w:rsidRDefault="005843AF" w:rsidP="008A4560">
            <w:pPr>
              <w:rPr>
                <w:snapToGrid w:val="0"/>
                <w:sz w:val="22"/>
                <w:szCs w:val="22"/>
              </w:rPr>
            </w:pPr>
            <w:r w:rsidRPr="000634A4">
              <w:rPr>
                <w:snapToGrid w:val="0"/>
                <w:sz w:val="22"/>
                <w:szCs w:val="22"/>
              </w:rPr>
              <w:t>Filed as Exhibit 10.2 to S-8 Registration Statement dated June 16, 2021</w:t>
            </w:r>
          </w:p>
        </w:tc>
      </w:tr>
      <w:tr w:rsidR="00284F34" w:rsidRPr="000634A4" w14:paraId="5CD87313" w14:textId="5A3B7FD5" w:rsidTr="00220137">
        <w:trPr>
          <w:gridAfter w:val="1"/>
          <w:wAfter w:w="14" w:type="dxa"/>
          <w:trHeight w:val="174"/>
        </w:trPr>
        <w:tc>
          <w:tcPr>
            <w:tcW w:w="884" w:type="dxa"/>
            <w:shd w:val="clear" w:color="auto" w:fill="auto"/>
          </w:tcPr>
          <w:p w14:paraId="31D55D37" w14:textId="25E3FE29" w:rsidR="00FF7EA7" w:rsidRPr="000634A4" w:rsidRDefault="00AA6656" w:rsidP="008A4560">
            <w:pPr>
              <w:rPr>
                <w:snapToGrid w:val="0"/>
                <w:sz w:val="22"/>
                <w:szCs w:val="22"/>
              </w:rPr>
            </w:pPr>
            <w:r w:rsidRPr="000634A4">
              <w:rPr>
                <w:snapToGrid w:val="0"/>
                <w:sz w:val="22"/>
                <w:szCs w:val="22"/>
              </w:rPr>
              <w:t>10.</w:t>
            </w:r>
            <w:r w:rsidR="000372F4" w:rsidRPr="000634A4">
              <w:rPr>
                <w:snapToGrid w:val="0"/>
                <w:sz w:val="22"/>
                <w:szCs w:val="22"/>
              </w:rPr>
              <w:t>1</w:t>
            </w:r>
            <w:r w:rsidR="00ED7DBB" w:rsidRPr="000634A4">
              <w:rPr>
                <w:snapToGrid w:val="0"/>
                <w:sz w:val="22"/>
                <w:szCs w:val="22"/>
              </w:rPr>
              <w:t>5</w:t>
            </w:r>
          </w:p>
        </w:tc>
        <w:tc>
          <w:tcPr>
            <w:tcW w:w="4515" w:type="dxa"/>
            <w:shd w:val="clear" w:color="auto" w:fill="auto"/>
          </w:tcPr>
          <w:p w14:paraId="74B3B4F6" w14:textId="272840E3" w:rsidR="000367DB" w:rsidRPr="000634A4" w:rsidRDefault="000367DB" w:rsidP="00D01620">
            <w:pPr>
              <w:rPr>
                <w:sz w:val="22"/>
                <w:szCs w:val="22"/>
              </w:rPr>
            </w:pPr>
            <w:r w:rsidRPr="000634A4">
              <w:rPr>
                <w:sz w:val="22"/>
                <w:szCs w:val="22"/>
              </w:rPr>
              <w:t xml:space="preserve">Form of Indemnification Agreement between Innodata Inc. and each of its Named Executive </w:t>
            </w:r>
          </w:p>
          <w:p w14:paraId="6165D235" w14:textId="28B7C17D" w:rsidR="00FF7EA7" w:rsidRPr="000634A4" w:rsidRDefault="000367DB" w:rsidP="00071DA6">
            <w:pPr>
              <w:rPr>
                <w:sz w:val="22"/>
                <w:szCs w:val="22"/>
              </w:rPr>
            </w:pPr>
            <w:r w:rsidRPr="000634A4">
              <w:rPr>
                <w:sz w:val="22"/>
                <w:szCs w:val="22"/>
              </w:rPr>
              <w:t xml:space="preserve">Officers and </w:t>
            </w:r>
            <w:r w:rsidR="00C050A3" w:rsidRPr="000634A4">
              <w:rPr>
                <w:sz w:val="22"/>
                <w:szCs w:val="22"/>
              </w:rPr>
              <w:t>D</w:t>
            </w:r>
            <w:r w:rsidRPr="000634A4">
              <w:rPr>
                <w:sz w:val="22"/>
                <w:szCs w:val="22"/>
              </w:rPr>
              <w:t>irectors*</w:t>
            </w:r>
          </w:p>
        </w:tc>
        <w:tc>
          <w:tcPr>
            <w:tcW w:w="5396" w:type="dxa"/>
            <w:shd w:val="clear" w:color="auto" w:fill="auto"/>
          </w:tcPr>
          <w:p w14:paraId="1A3E232F" w14:textId="1BE03FD7" w:rsidR="00FF7EA7" w:rsidRPr="000634A4" w:rsidRDefault="000367DB" w:rsidP="008A4560">
            <w:pPr>
              <w:rPr>
                <w:snapToGrid w:val="0"/>
                <w:sz w:val="22"/>
                <w:szCs w:val="22"/>
              </w:rPr>
            </w:pPr>
            <w:r w:rsidRPr="000634A4">
              <w:rPr>
                <w:snapToGrid w:val="0"/>
                <w:sz w:val="22"/>
                <w:szCs w:val="22"/>
              </w:rPr>
              <w:t>Filed as Exhibit 10.1 to Form 8-K dated February 23, 2022</w:t>
            </w:r>
          </w:p>
        </w:tc>
      </w:tr>
      <w:tr w:rsidR="0081767C" w:rsidRPr="000634A4" w14:paraId="7B60E925" w14:textId="77777777" w:rsidTr="00220137">
        <w:trPr>
          <w:trHeight w:val="174"/>
        </w:trPr>
        <w:tc>
          <w:tcPr>
            <w:tcW w:w="884" w:type="dxa"/>
            <w:shd w:val="clear" w:color="auto" w:fill="auto"/>
          </w:tcPr>
          <w:p w14:paraId="76DD33FC" w14:textId="56181FCE" w:rsidR="0081767C" w:rsidRPr="000634A4" w:rsidRDefault="0081767C" w:rsidP="0081767C">
            <w:pPr>
              <w:rPr>
                <w:snapToGrid w:val="0"/>
                <w:sz w:val="22"/>
                <w:szCs w:val="22"/>
              </w:rPr>
            </w:pPr>
          </w:p>
        </w:tc>
        <w:tc>
          <w:tcPr>
            <w:tcW w:w="4515" w:type="dxa"/>
            <w:shd w:val="clear" w:color="auto" w:fill="auto"/>
          </w:tcPr>
          <w:p w14:paraId="1F204582" w14:textId="45561077" w:rsidR="0081767C" w:rsidRPr="000634A4" w:rsidRDefault="0081767C" w:rsidP="00F232ED">
            <w:pPr>
              <w:rPr>
                <w:snapToGrid w:val="0"/>
                <w:sz w:val="22"/>
                <w:szCs w:val="22"/>
              </w:rPr>
            </w:pPr>
          </w:p>
        </w:tc>
        <w:tc>
          <w:tcPr>
            <w:tcW w:w="5410" w:type="dxa"/>
            <w:gridSpan w:val="2"/>
            <w:shd w:val="clear" w:color="auto" w:fill="auto"/>
          </w:tcPr>
          <w:p w14:paraId="3417428D" w14:textId="77777777" w:rsidR="0081767C" w:rsidRPr="000634A4" w:rsidRDefault="0081767C" w:rsidP="000372F4">
            <w:pPr>
              <w:rPr>
                <w:snapToGrid w:val="0"/>
                <w:sz w:val="22"/>
                <w:szCs w:val="22"/>
              </w:rPr>
            </w:pPr>
          </w:p>
        </w:tc>
      </w:tr>
      <w:tr w:rsidR="00284F34" w:rsidRPr="000634A4" w14:paraId="7F2A6476" w14:textId="77777777" w:rsidTr="00220137">
        <w:trPr>
          <w:trHeight w:val="174"/>
        </w:trPr>
        <w:tc>
          <w:tcPr>
            <w:tcW w:w="884" w:type="dxa"/>
            <w:shd w:val="clear" w:color="auto" w:fill="auto"/>
          </w:tcPr>
          <w:p w14:paraId="6E2E7647" w14:textId="77777777" w:rsidR="0081767C" w:rsidRPr="000634A4" w:rsidRDefault="0081767C" w:rsidP="0081767C">
            <w:pPr>
              <w:rPr>
                <w:snapToGrid w:val="0"/>
                <w:sz w:val="22"/>
                <w:szCs w:val="22"/>
              </w:rPr>
            </w:pPr>
            <w:r w:rsidRPr="000634A4">
              <w:rPr>
                <w:snapToGrid w:val="0"/>
                <w:sz w:val="22"/>
                <w:szCs w:val="22"/>
              </w:rPr>
              <w:t>21</w:t>
            </w:r>
          </w:p>
        </w:tc>
        <w:tc>
          <w:tcPr>
            <w:tcW w:w="4515" w:type="dxa"/>
            <w:shd w:val="clear" w:color="auto" w:fill="auto"/>
          </w:tcPr>
          <w:p w14:paraId="077C7BA2" w14:textId="77777777" w:rsidR="0081767C" w:rsidRPr="000634A4" w:rsidRDefault="0081767C" w:rsidP="0081767C">
            <w:pPr>
              <w:rPr>
                <w:snapToGrid w:val="0"/>
                <w:sz w:val="22"/>
                <w:szCs w:val="22"/>
              </w:rPr>
            </w:pPr>
            <w:r w:rsidRPr="000634A4">
              <w:rPr>
                <w:snapToGrid w:val="0"/>
                <w:sz w:val="22"/>
                <w:szCs w:val="22"/>
              </w:rPr>
              <w:t>Significant subsidiaries of the registrant</w:t>
            </w:r>
          </w:p>
        </w:tc>
        <w:tc>
          <w:tcPr>
            <w:tcW w:w="5410" w:type="dxa"/>
            <w:gridSpan w:val="2"/>
            <w:shd w:val="clear" w:color="auto" w:fill="auto"/>
          </w:tcPr>
          <w:p w14:paraId="4D9F9BD7" w14:textId="77777777" w:rsidR="0081767C" w:rsidRPr="000634A4" w:rsidRDefault="0081767C" w:rsidP="0081767C">
            <w:pPr>
              <w:rPr>
                <w:snapToGrid w:val="0"/>
                <w:sz w:val="22"/>
                <w:szCs w:val="22"/>
              </w:rPr>
            </w:pPr>
            <w:r w:rsidRPr="000634A4">
              <w:rPr>
                <w:snapToGrid w:val="0"/>
                <w:sz w:val="22"/>
                <w:szCs w:val="22"/>
              </w:rPr>
              <w:t>Filed herewith</w:t>
            </w:r>
          </w:p>
        </w:tc>
      </w:tr>
      <w:tr w:rsidR="00284F34" w:rsidRPr="000634A4" w14:paraId="6BFCC680" w14:textId="77777777" w:rsidTr="00220137">
        <w:trPr>
          <w:trHeight w:val="174"/>
        </w:trPr>
        <w:tc>
          <w:tcPr>
            <w:tcW w:w="884" w:type="dxa"/>
            <w:shd w:val="clear" w:color="auto" w:fill="auto"/>
          </w:tcPr>
          <w:p w14:paraId="185D0F83" w14:textId="77777777" w:rsidR="0081767C" w:rsidRPr="000634A4" w:rsidRDefault="0081767C" w:rsidP="0081767C">
            <w:pPr>
              <w:rPr>
                <w:snapToGrid w:val="0"/>
                <w:sz w:val="22"/>
                <w:szCs w:val="22"/>
              </w:rPr>
            </w:pPr>
          </w:p>
        </w:tc>
        <w:tc>
          <w:tcPr>
            <w:tcW w:w="4515" w:type="dxa"/>
            <w:shd w:val="clear" w:color="auto" w:fill="auto"/>
          </w:tcPr>
          <w:p w14:paraId="4528C5D1" w14:textId="77777777" w:rsidR="0081767C" w:rsidRPr="000634A4" w:rsidRDefault="0081767C" w:rsidP="0081767C">
            <w:pPr>
              <w:rPr>
                <w:snapToGrid w:val="0"/>
                <w:sz w:val="22"/>
                <w:szCs w:val="22"/>
              </w:rPr>
            </w:pPr>
          </w:p>
        </w:tc>
        <w:tc>
          <w:tcPr>
            <w:tcW w:w="5410" w:type="dxa"/>
            <w:gridSpan w:val="2"/>
            <w:shd w:val="clear" w:color="auto" w:fill="auto"/>
          </w:tcPr>
          <w:p w14:paraId="4839C9BA" w14:textId="77777777" w:rsidR="0081767C" w:rsidRPr="000634A4" w:rsidRDefault="0081767C" w:rsidP="0081767C">
            <w:pPr>
              <w:rPr>
                <w:snapToGrid w:val="0"/>
                <w:sz w:val="22"/>
                <w:szCs w:val="22"/>
              </w:rPr>
            </w:pPr>
          </w:p>
        </w:tc>
      </w:tr>
      <w:tr w:rsidR="00284F34" w:rsidRPr="000634A4" w14:paraId="7C4FB10D" w14:textId="77777777" w:rsidTr="00220137">
        <w:trPr>
          <w:trHeight w:val="174"/>
        </w:trPr>
        <w:tc>
          <w:tcPr>
            <w:tcW w:w="884" w:type="dxa"/>
            <w:shd w:val="clear" w:color="auto" w:fill="auto"/>
          </w:tcPr>
          <w:p w14:paraId="5B5805D9" w14:textId="4BF531A6" w:rsidR="0081767C" w:rsidRPr="000634A4" w:rsidRDefault="0081767C" w:rsidP="0081767C">
            <w:pPr>
              <w:rPr>
                <w:snapToGrid w:val="0"/>
                <w:sz w:val="22"/>
                <w:szCs w:val="22"/>
              </w:rPr>
            </w:pPr>
            <w:r w:rsidRPr="000634A4">
              <w:rPr>
                <w:snapToGrid w:val="0"/>
                <w:sz w:val="22"/>
                <w:szCs w:val="22"/>
              </w:rPr>
              <w:t>23</w:t>
            </w:r>
          </w:p>
        </w:tc>
        <w:tc>
          <w:tcPr>
            <w:tcW w:w="4515" w:type="dxa"/>
            <w:shd w:val="clear" w:color="auto" w:fill="auto"/>
          </w:tcPr>
          <w:p w14:paraId="5AE53EA8" w14:textId="3F986657" w:rsidR="0081767C" w:rsidRPr="000634A4" w:rsidRDefault="0081767C" w:rsidP="0081767C">
            <w:pPr>
              <w:rPr>
                <w:snapToGrid w:val="0"/>
                <w:sz w:val="22"/>
                <w:szCs w:val="22"/>
              </w:rPr>
            </w:pPr>
            <w:r w:rsidRPr="000634A4">
              <w:rPr>
                <w:snapToGrid w:val="0"/>
                <w:sz w:val="22"/>
                <w:szCs w:val="22"/>
              </w:rPr>
              <w:t>Consent of BDO India LLP</w:t>
            </w:r>
          </w:p>
        </w:tc>
        <w:tc>
          <w:tcPr>
            <w:tcW w:w="5410" w:type="dxa"/>
            <w:gridSpan w:val="2"/>
            <w:shd w:val="clear" w:color="auto" w:fill="auto"/>
          </w:tcPr>
          <w:p w14:paraId="27A1914B" w14:textId="77777777" w:rsidR="0081767C" w:rsidRPr="000634A4" w:rsidRDefault="0081767C" w:rsidP="0081767C">
            <w:pPr>
              <w:rPr>
                <w:snapToGrid w:val="0"/>
                <w:sz w:val="22"/>
                <w:szCs w:val="22"/>
              </w:rPr>
            </w:pPr>
            <w:r w:rsidRPr="000634A4">
              <w:rPr>
                <w:snapToGrid w:val="0"/>
                <w:sz w:val="22"/>
                <w:szCs w:val="22"/>
              </w:rPr>
              <w:t>Filed herewith</w:t>
            </w:r>
          </w:p>
        </w:tc>
      </w:tr>
      <w:tr w:rsidR="00284F34" w:rsidRPr="000634A4" w14:paraId="3F828EEF" w14:textId="77777777" w:rsidTr="00220137">
        <w:trPr>
          <w:trHeight w:val="174"/>
        </w:trPr>
        <w:tc>
          <w:tcPr>
            <w:tcW w:w="884" w:type="dxa"/>
            <w:shd w:val="clear" w:color="auto" w:fill="auto"/>
          </w:tcPr>
          <w:p w14:paraId="18483284" w14:textId="77777777" w:rsidR="0081767C" w:rsidRPr="000634A4" w:rsidRDefault="0081767C" w:rsidP="0081767C">
            <w:pPr>
              <w:rPr>
                <w:snapToGrid w:val="0"/>
                <w:sz w:val="22"/>
                <w:szCs w:val="22"/>
              </w:rPr>
            </w:pPr>
          </w:p>
        </w:tc>
        <w:tc>
          <w:tcPr>
            <w:tcW w:w="4515" w:type="dxa"/>
            <w:shd w:val="clear" w:color="auto" w:fill="auto"/>
          </w:tcPr>
          <w:p w14:paraId="24C6AFEC" w14:textId="77777777" w:rsidR="0081767C" w:rsidRPr="000634A4" w:rsidRDefault="0081767C" w:rsidP="0081767C">
            <w:pPr>
              <w:rPr>
                <w:snapToGrid w:val="0"/>
                <w:sz w:val="22"/>
                <w:szCs w:val="22"/>
              </w:rPr>
            </w:pPr>
          </w:p>
        </w:tc>
        <w:tc>
          <w:tcPr>
            <w:tcW w:w="5410" w:type="dxa"/>
            <w:gridSpan w:val="2"/>
            <w:shd w:val="clear" w:color="auto" w:fill="auto"/>
          </w:tcPr>
          <w:p w14:paraId="7557AC86" w14:textId="77777777" w:rsidR="0081767C" w:rsidRPr="000634A4" w:rsidRDefault="0081767C" w:rsidP="0081767C">
            <w:pPr>
              <w:rPr>
                <w:snapToGrid w:val="0"/>
                <w:sz w:val="22"/>
                <w:szCs w:val="22"/>
              </w:rPr>
            </w:pPr>
          </w:p>
        </w:tc>
      </w:tr>
      <w:tr w:rsidR="00284F34" w:rsidRPr="000634A4" w14:paraId="166DF5D1" w14:textId="77777777" w:rsidTr="00220137">
        <w:trPr>
          <w:trHeight w:val="174"/>
        </w:trPr>
        <w:tc>
          <w:tcPr>
            <w:tcW w:w="884" w:type="dxa"/>
          </w:tcPr>
          <w:p w14:paraId="0EB24337" w14:textId="77777777" w:rsidR="0081767C" w:rsidRPr="000634A4" w:rsidRDefault="0081767C" w:rsidP="0081767C">
            <w:pPr>
              <w:rPr>
                <w:snapToGrid w:val="0"/>
                <w:sz w:val="22"/>
                <w:szCs w:val="22"/>
              </w:rPr>
            </w:pPr>
            <w:r w:rsidRPr="000634A4">
              <w:rPr>
                <w:snapToGrid w:val="0"/>
                <w:sz w:val="22"/>
                <w:szCs w:val="22"/>
              </w:rPr>
              <w:t>31.1</w:t>
            </w:r>
          </w:p>
        </w:tc>
        <w:tc>
          <w:tcPr>
            <w:tcW w:w="4515" w:type="dxa"/>
          </w:tcPr>
          <w:p w14:paraId="67C94708" w14:textId="77777777" w:rsidR="0081767C" w:rsidRPr="000634A4" w:rsidRDefault="0081767C" w:rsidP="0081767C">
            <w:pPr>
              <w:rPr>
                <w:snapToGrid w:val="0"/>
                <w:sz w:val="22"/>
                <w:szCs w:val="22"/>
              </w:rPr>
            </w:pPr>
            <w:r w:rsidRPr="000634A4">
              <w:rPr>
                <w:snapToGrid w:val="0"/>
                <w:sz w:val="22"/>
                <w:szCs w:val="22"/>
              </w:rPr>
              <w:t xml:space="preserve">Certification of Chief Executive Officer </w:t>
            </w:r>
          </w:p>
        </w:tc>
        <w:tc>
          <w:tcPr>
            <w:tcW w:w="5410" w:type="dxa"/>
            <w:gridSpan w:val="2"/>
          </w:tcPr>
          <w:p w14:paraId="2FB6E4A2" w14:textId="77777777" w:rsidR="0081767C" w:rsidRPr="000634A4" w:rsidRDefault="0081767C" w:rsidP="0081767C">
            <w:pPr>
              <w:rPr>
                <w:snapToGrid w:val="0"/>
                <w:sz w:val="22"/>
                <w:szCs w:val="22"/>
              </w:rPr>
            </w:pPr>
            <w:r w:rsidRPr="000634A4">
              <w:rPr>
                <w:snapToGrid w:val="0"/>
                <w:sz w:val="22"/>
                <w:szCs w:val="22"/>
              </w:rPr>
              <w:t>Filed herewith</w:t>
            </w:r>
          </w:p>
        </w:tc>
      </w:tr>
      <w:tr w:rsidR="00284F34" w:rsidRPr="000634A4" w14:paraId="1798E8BD" w14:textId="77777777" w:rsidTr="00220137">
        <w:trPr>
          <w:trHeight w:val="174"/>
        </w:trPr>
        <w:tc>
          <w:tcPr>
            <w:tcW w:w="884" w:type="dxa"/>
          </w:tcPr>
          <w:p w14:paraId="137C1A09" w14:textId="77777777" w:rsidR="0081767C" w:rsidRPr="000634A4" w:rsidRDefault="0081767C" w:rsidP="0081767C">
            <w:pPr>
              <w:rPr>
                <w:snapToGrid w:val="0"/>
                <w:sz w:val="22"/>
                <w:szCs w:val="22"/>
              </w:rPr>
            </w:pPr>
          </w:p>
        </w:tc>
        <w:tc>
          <w:tcPr>
            <w:tcW w:w="4515" w:type="dxa"/>
          </w:tcPr>
          <w:p w14:paraId="1AFF8D36" w14:textId="77777777" w:rsidR="0081767C" w:rsidRPr="000634A4" w:rsidRDefault="0081767C" w:rsidP="0081767C">
            <w:pPr>
              <w:rPr>
                <w:snapToGrid w:val="0"/>
                <w:sz w:val="22"/>
                <w:szCs w:val="22"/>
              </w:rPr>
            </w:pPr>
            <w:r w:rsidRPr="000634A4">
              <w:rPr>
                <w:snapToGrid w:val="0"/>
                <w:sz w:val="22"/>
                <w:szCs w:val="22"/>
              </w:rPr>
              <w:t xml:space="preserve">pursuant to Section 302 of the </w:t>
            </w:r>
          </w:p>
        </w:tc>
        <w:tc>
          <w:tcPr>
            <w:tcW w:w="5410" w:type="dxa"/>
            <w:gridSpan w:val="2"/>
          </w:tcPr>
          <w:p w14:paraId="58D8FE19" w14:textId="77777777" w:rsidR="0081767C" w:rsidRPr="000634A4" w:rsidRDefault="0081767C" w:rsidP="0081767C">
            <w:pPr>
              <w:rPr>
                <w:snapToGrid w:val="0"/>
                <w:sz w:val="22"/>
                <w:szCs w:val="22"/>
              </w:rPr>
            </w:pPr>
          </w:p>
        </w:tc>
      </w:tr>
      <w:tr w:rsidR="00284F34" w:rsidRPr="000634A4" w14:paraId="3DA176B5" w14:textId="77777777" w:rsidTr="00220137">
        <w:trPr>
          <w:trHeight w:val="174"/>
        </w:trPr>
        <w:tc>
          <w:tcPr>
            <w:tcW w:w="884" w:type="dxa"/>
          </w:tcPr>
          <w:p w14:paraId="60256476" w14:textId="77777777" w:rsidR="0081767C" w:rsidRPr="000634A4" w:rsidRDefault="0081767C" w:rsidP="0081767C">
            <w:pPr>
              <w:rPr>
                <w:snapToGrid w:val="0"/>
                <w:sz w:val="22"/>
                <w:szCs w:val="22"/>
              </w:rPr>
            </w:pPr>
          </w:p>
        </w:tc>
        <w:tc>
          <w:tcPr>
            <w:tcW w:w="4515" w:type="dxa"/>
          </w:tcPr>
          <w:p w14:paraId="158BFFDA" w14:textId="77777777" w:rsidR="0081767C" w:rsidRPr="000634A4" w:rsidRDefault="0081767C" w:rsidP="0081767C">
            <w:pPr>
              <w:rPr>
                <w:snapToGrid w:val="0"/>
                <w:sz w:val="22"/>
                <w:szCs w:val="22"/>
              </w:rPr>
            </w:pPr>
            <w:r w:rsidRPr="000634A4">
              <w:rPr>
                <w:snapToGrid w:val="0"/>
                <w:sz w:val="22"/>
                <w:szCs w:val="22"/>
              </w:rPr>
              <w:t>Sarbanes-Oxley Act of 2002</w:t>
            </w:r>
          </w:p>
        </w:tc>
        <w:tc>
          <w:tcPr>
            <w:tcW w:w="5410" w:type="dxa"/>
            <w:gridSpan w:val="2"/>
          </w:tcPr>
          <w:p w14:paraId="36E300C6" w14:textId="77777777" w:rsidR="0081767C" w:rsidRPr="000634A4" w:rsidRDefault="0081767C" w:rsidP="0081767C">
            <w:pPr>
              <w:rPr>
                <w:snapToGrid w:val="0"/>
                <w:sz w:val="22"/>
                <w:szCs w:val="22"/>
              </w:rPr>
            </w:pPr>
          </w:p>
        </w:tc>
      </w:tr>
      <w:tr w:rsidR="00284F34" w:rsidRPr="000634A4" w14:paraId="4CDBAE5C" w14:textId="77777777" w:rsidTr="00220137">
        <w:trPr>
          <w:trHeight w:val="174"/>
        </w:trPr>
        <w:tc>
          <w:tcPr>
            <w:tcW w:w="884" w:type="dxa"/>
          </w:tcPr>
          <w:p w14:paraId="7653E23B" w14:textId="77777777" w:rsidR="0081767C" w:rsidRPr="000634A4" w:rsidRDefault="0081767C" w:rsidP="0081767C">
            <w:pPr>
              <w:rPr>
                <w:snapToGrid w:val="0"/>
                <w:sz w:val="22"/>
                <w:szCs w:val="22"/>
              </w:rPr>
            </w:pPr>
          </w:p>
        </w:tc>
        <w:tc>
          <w:tcPr>
            <w:tcW w:w="4515" w:type="dxa"/>
          </w:tcPr>
          <w:p w14:paraId="0B1AE188" w14:textId="77777777" w:rsidR="0081767C" w:rsidRPr="000634A4" w:rsidRDefault="0081767C" w:rsidP="0081767C">
            <w:pPr>
              <w:jc w:val="right"/>
              <w:rPr>
                <w:snapToGrid w:val="0"/>
                <w:sz w:val="22"/>
                <w:szCs w:val="22"/>
              </w:rPr>
            </w:pPr>
          </w:p>
        </w:tc>
        <w:tc>
          <w:tcPr>
            <w:tcW w:w="5410" w:type="dxa"/>
            <w:gridSpan w:val="2"/>
          </w:tcPr>
          <w:p w14:paraId="214AC7B2" w14:textId="77777777" w:rsidR="0081767C" w:rsidRPr="000634A4" w:rsidRDefault="0081767C" w:rsidP="0081767C">
            <w:pPr>
              <w:jc w:val="right"/>
              <w:rPr>
                <w:snapToGrid w:val="0"/>
                <w:sz w:val="22"/>
                <w:szCs w:val="22"/>
              </w:rPr>
            </w:pPr>
          </w:p>
        </w:tc>
      </w:tr>
      <w:tr w:rsidR="00284F34" w:rsidRPr="000634A4" w14:paraId="350AAFF5" w14:textId="77777777" w:rsidTr="00220137">
        <w:trPr>
          <w:trHeight w:val="174"/>
        </w:trPr>
        <w:tc>
          <w:tcPr>
            <w:tcW w:w="884" w:type="dxa"/>
          </w:tcPr>
          <w:p w14:paraId="22BCF031" w14:textId="77777777" w:rsidR="0081767C" w:rsidRPr="000634A4" w:rsidRDefault="0081767C" w:rsidP="0081767C">
            <w:pPr>
              <w:rPr>
                <w:snapToGrid w:val="0"/>
                <w:sz w:val="22"/>
                <w:szCs w:val="22"/>
              </w:rPr>
            </w:pPr>
            <w:r w:rsidRPr="000634A4">
              <w:rPr>
                <w:snapToGrid w:val="0"/>
                <w:sz w:val="22"/>
                <w:szCs w:val="22"/>
              </w:rPr>
              <w:t>31.2</w:t>
            </w:r>
          </w:p>
        </w:tc>
        <w:tc>
          <w:tcPr>
            <w:tcW w:w="4515" w:type="dxa"/>
          </w:tcPr>
          <w:p w14:paraId="45574970" w14:textId="77777777" w:rsidR="0081767C" w:rsidRPr="000634A4" w:rsidRDefault="0081767C" w:rsidP="0081767C">
            <w:pPr>
              <w:rPr>
                <w:snapToGrid w:val="0"/>
                <w:sz w:val="22"/>
                <w:szCs w:val="22"/>
              </w:rPr>
            </w:pPr>
            <w:r w:rsidRPr="000634A4">
              <w:rPr>
                <w:snapToGrid w:val="0"/>
                <w:sz w:val="22"/>
                <w:szCs w:val="22"/>
              </w:rPr>
              <w:t xml:space="preserve">Certification of Chief Financial Officer </w:t>
            </w:r>
          </w:p>
        </w:tc>
        <w:tc>
          <w:tcPr>
            <w:tcW w:w="5410" w:type="dxa"/>
            <w:gridSpan w:val="2"/>
          </w:tcPr>
          <w:p w14:paraId="40A92C06" w14:textId="77777777" w:rsidR="0081767C" w:rsidRPr="000634A4" w:rsidRDefault="0081767C" w:rsidP="0081767C">
            <w:pPr>
              <w:rPr>
                <w:snapToGrid w:val="0"/>
                <w:sz w:val="22"/>
                <w:szCs w:val="22"/>
              </w:rPr>
            </w:pPr>
            <w:r w:rsidRPr="000634A4">
              <w:rPr>
                <w:snapToGrid w:val="0"/>
                <w:sz w:val="22"/>
                <w:szCs w:val="22"/>
              </w:rPr>
              <w:t>Filed herewith</w:t>
            </w:r>
          </w:p>
        </w:tc>
      </w:tr>
      <w:tr w:rsidR="00284F34" w:rsidRPr="000634A4" w14:paraId="0FB65F73" w14:textId="77777777" w:rsidTr="00220137">
        <w:trPr>
          <w:trHeight w:val="174"/>
        </w:trPr>
        <w:tc>
          <w:tcPr>
            <w:tcW w:w="884" w:type="dxa"/>
          </w:tcPr>
          <w:p w14:paraId="760D124F" w14:textId="77777777" w:rsidR="0081767C" w:rsidRPr="000634A4" w:rsidRDefault="0081767C" w:rsidP="0081767C">
            <w:pPr>
              <w:rPr>
                <w:snapToGrid w:val="0"/>
                <w:sz w:val="22"/>
                <w:szCs w:val="22"/>
              </w:rPr>
            </w:pPr>
          </w:p>
        </w:tc>
        <w:tc>
          <w:tcPr>
            <w:tcW w:w="4515" w:type="dxa"/>
          </w:tcPr>
          <w:p w14:paraId="6E844566" w14:textId="77777777" w:rsidR="0081767C" w:rsidRPr="000634A4" w:rsidRDefault="0081767C" w:rsidP="0081767C">
            <w:pPr>
              <w:rPr>
                <w:snapToGrid w:val="0"/>
                <w:sz w:val="22"/>
                <w:szCs w:val="22"/>
              </w:rPr>
            </w:pPr>
            <w:r w:rsidRPr="000634A4">
              <w:rPr>
                <w:snapToGrid w:val="0"/>
                <w:sz w:val="22"/>
                <w:szCs w:val="22"/>
              </w:rPr>
              <w:t xml:space="preserve">pursuant to Section 302 of the </w:t>
            </w:r>
          </w:p>
        </w:tc>
        <w:tc>
          <w:tcPr>
            <w:tcW w:w="5410" w:type="dxa"/>
            <w:gridSpan w:val="2"/>
          </w:tcPr>
          <w:p w14:paraId="63675F0D" w14:textId="77777777" w:rsidR="0081767C" w:rsidRPr="000634A4" w:rsidRDefault="0081767C" w:rsidP="0081767C">
            <w:pPr>
              <w:rPr>
                <w:snapToGrid w:val="0"/>
                <w:sz w:val="22"/>
                <w:szCs w:val="22"/>
              </w:rPr>
            </w:pPr>
          </w:p>
        </w:tc>
      </w:tr>
      <w:tr w:rsidR="00284F34" w:rsidRPr="000634A4" w14:paraId="05608D7E" w14:textId="77777777" w:rsidTr="00220137">
        <w:trPr>
          <w:trHeight w:val="174"/>
        </w:trPr>
        <w:tc>
          <w:tcPr>
            <w:tcW w:w="884" w:type="dxa"/>
          </w:tcPr>
          <w:p w14:paraId="62787D91" w14:textId="77777777" w:rsidR="0081767C" w:rsidRPr="000634A4" w:rsidRDefault="0081767C" w:rsidP="0081767C">
            <w:pPr>
              <w:rPr>
                <w:snapToGrid w:val="0"/>
                <w:sz w:val="22"/>
                <w:szCs w:val="22"/>
              </w:rPr>
            </w:pPr>
          </w:p>
        </w:tc>
        <w:tc>
          <w:tcPr>
            <w:tcW w:w="4515" w:type="dxa"/>
          </w:tcPr>
          <w:p w14:paraId="437605C2" w14:textId="77777777" w:rsidR="0081767C" w:rsidRPr="000634A4" w:rsidRDefault="0081767C" w:rsidP="0081767C">
            <w:pPr>
              <w:rPr>
                <w:snapToGrid w:val="0"/>
                <w:sz w:val="22"/>
                <w:szCs w:val="22"/>
              </w:rPr>
            </w:pPr>
            <w:r w:rsidRPr="000634A4">
              <w:rPr>
                <w:snapToGrid w:val="0"/>
                <w:sz w:val="22"/>
                <w:szCs w:val="22"/>
              </w:rPr>
              <w:t>Sarbanes-Oxley Act of 2002.</w:t>
            </w:r>
          </w:p>
        </w:tc>
        <w:tc>
          <w:tcPr>
            <w:tcW w:w="5410" w:type="dxa"/>
            <w:gridSpan w:val="2"/>
          </w:tcPr>
          <w:p w14:paraId="21C7B467" w14:textId="77777777" w:rsidR="0081767C" w:rsidRPr="000634A4" w:rsidRDefault="0081767C" w:rsidP="0081767C">
            <w:pPr>
              <w:rPr>
                <w:snapToGrid w:val="0"/>
                <w:sz w:val="22"/>
                <w:szCs w:val="22"/>
              </w:rPr>
            </w:pPr>
          </w:p>
        </w:tc>
      </w:tr>
      <w:tr w:rsidR="00284F34" w:rsidRPr="000634A4" w14:paraId="68D29B20" w14:textId="77777777" w:rsidTr="00220137">
        <w:trPr>
          <w:trHeight w:val="174"/>
        </w:trPr>
        <w:tc>
          <w:tcPr>
            <w:tcW w:w="884" w:type="dxa"/>
          </w:tcPr>
          <w:p w14:paraId="6420C57B" w14:textId="77777777" w:rsidR="0081767C" w:rsidRPr="000634A4" w:rsidRDefault="0081767C" w:rsidP="0081767C">
            <w:pPr>
              <w:rPr>
                <w:snapToGrid w:val="0"/>
                <w:sz w:val="22"/>
                <w:szCs w:val="22"/>
              </w:rPr>
            </w:pPr>
          </w:p>
        </w:tc>
        <w:tc>
          <w:tcPr>
            <w:tcW w:w="4515" w:type="dxa"/>
          </w:tcPr>
          <w:p w14:paraId="5844EE0D" w14:textId="77777777" w:rsidR="0081767C" w:rsidRPr="000634A4" w:rsidRDefault="0081767C" w:rsidP="0081767C">
            <w:pPr>
              <w:rPr>
                <w:snapToGrid w:val="0"/>
                <w:sz w:val="22"/>
                <w:szCs w:val="22"/>
              </w:rPr>
            </w:pPr>
          </w:p>
        </w:tc>
        <w:tc>
          <w:tcPr>
            <w:tcW w:w="5410" w:type="dxa"/>
            <w:gridSpan w:val="2"/>
          </w:tcPr>
          <w:p w14:paraId="676D57EA" w14:textId="77777777" w:rsidR="0081767C" w:rsidRPr="000634A4" w:rsidRDefault="0081767C" w:rsidP="0081767C">
            <w:pPr>
              <w:rPr>
                <w:snapToGrid w:val="0"/>
                <w:sz w:val="22"/>
                <w:szCs w:val="22"/>
              </w:rPr>
            </w:pPr>
          </w:p>
        </w:tc>
      </w:tr>
      <w:tr w:rsidR="00284F34" w:rsidRPr="000634A4" w14:paraId="421FB099" w14:textId="77777777" w:rsidTr="00220137">
        <w:trPr>
          <w:trHeight w:val="174"/>
        </w:trPr>
        <w:tc>
          <w:tcPr>
            <w:tcW w:w="884" w:type="dxa"/>
          </w:tcPr>
          <w:p w14:paraId="729602C6" w14:textId="77777777" w:rsidR="0081767C" w:rsidRPr="000634A4" w:rsidRDefault="0081767C" w:rsidP="0081767C">
            <w:pPr>
              <w:rPr>
                <w:snapToGrid w:val="0"/>
                <w:sz w:val="22"/>
                <w:szCs w:val="22"/>
              </w:rPr>
            </w:pPr>
            <w:r w:rsidRPr="000634A4">
              <w:rPr>
                <w:snapToGrid w:val="0"/>
                <w:sz w:val="22"/>
                <w:szCs w:val="22"/>
              </w:rPr>
              <w:t>32.1</w:t>
            </w:r>
          </w:p>
        </w:tc>
        <w:tc>
          <w:tcPr>
            <w:tcW w:w="4515" w:type="dxa"/>
          </w:tcPr>
          <w:p w14:paraId="7FF55233" w14:textId="77777777" w:rsidR="0081767C" w:rsidRPr="000634A4" w:rsidRDefault="0081767C" w:rsidP="0081767C">
            <w:pPr>
              <w:rPr>
                <w:snapToGrid w:val="0"/>
                <w:sz w:val="22"/>
                <w:szCs w:val="22"/>
              </w:rPr>
            </w:pPr>
            <w:r w:rsidRPr="000634A4">
              <w:rPr>
                <w:snapToGrid w:val="0"/>
                <w:sz w:val="22"/>
                <w:szCs w:val="22"/>
              </w:rPr>
              <w:t xml:space="preserve">Certification Pursuant to 18 U.S.C. Section </w:t>
            </w:r>
          </w:p>
        </w:tc>
        <w:tc>
          <w:tcPr>
            <w:tcW w:w="5410" w:type="dxa"/>
            <w:gridSpan w:val="2"/>
          </w:tcPr>
          <w:p w14:paraId="015F5A81" w14:textId="77777777" w:rsidR="0081767C" w:rsidRPr="000634A4" w:rsidRDefault="0081767C" w:rsidP="0081767C">
            <w:pPr>
              <w:rPr>
                <w:snapToGrid w:val="0"/>
                <w:sz w:val="22"/>
                <w:szCs w:val="22"/>
              </w:rPr>
            </w:pPr>
            <w:r w:rsidRPr="000634A4">
              <w:rPr>
                <w:snapToGrid w:val="0"/>
                <w:sz w:val="22"/>
                <w:szCs w:val="22"/>
              </w:rPr>
              <w:t>Furnished herewith</w:t>
            </w:r>
          </w:p>
        </w:tc>
      </w:tr>
      <w:tr w:rsidR="00284F34" w:rsidRPr="000634A4" w14:paraId="08FC5C08" w14:textId="77777777" w:rsidTr="00220137">
        <w:trPr>
          <w:trHeight w:val="174"/>
        </w:trPr>
        <w:tc>
          <w:tcPr>
            <w:tcW w:w="884" w:type="dxa"/>
          </w:tcPr>
          <w:p w14:paraId="54C6BE17" w14:textId="77777777" w:rsidR="0081767C" w:rsidRPr="000634A4" w:rsidRDefault="0081767C" w:rsidP="0081767C">
            <w:pPr>
              <w:rPr>
                <w:snapToGrid w:val="0"/>
                <w:sz w:val="22"/>
                <w:szCs w:val="22"/>
              </w:rPr>
            </w:pPr>
          </w:p>
        </w:tc>
        <w:tc>
          <w:tcPr>
            <w:tcW w:w="4515" w:type="dxa"/>
          </w:tcPr>
          <w:p w14:paraId="67775BDC" w14:textId="77777777" w:rsidR="0081767C" w:rsidRPr="000634A4" w:rsidRDefault="0081767C" w:rsidP="0081767C">
            <w:pPr>
              <w:rPr>
                <w:snapToGrid w:val="0"/>
                <w:sz w:val="22"/>
                <w:szCs w:val="22"/>
              </w:rPr>
            </w:pPr>
            <w:r w:rsidRPr="000634A4">
              <w:rPr>
                <w:snapToGrid w:val="0"/>
                <w:sz w:val="22"/>
                <w:szCs w:val="22"/>
              </w:rPr>
              <w:t xml:space="preserve">1350, as adopted pursuant to Section 906 of the </w:t>
            </w:r>
          </w:p>
        </w:tc>
        <w:tc>
          <w:tcPr>
            <w:tcW w:w="5410" w:type="dxa"/>
            <w:gridSpan w:val="2"/>
          </w:tcPr>
          <w:p w14:paraId="690BE927" w14:textId="77777777" w:rsidR="0081767C" w:rsidRPr="000634A4" w:rsidRDefault="0081767C" w:rsidP="0081767C">
            <w:pPr>
              <w:rPr>
                <w:snapToGrid w:val="0"/>
                <w:sz w:val="22"/>
                <w:szCs w:val="22"/>
              </w:rPr>
            </w:pPr>
          </w:p>
        </w:tc>
      </w:tr>
      <w:tr w:rsidR="00284F34" w:rsidRPr="000634A4" w14:paraId="4AB1830E" w14:textId="77777777" w:rsidTr="00220137">
        <w:trPr>
          <w:trHeight w:val="174"/>
        </w:trPr>
        <w:tc>
          <w:tcPr>
            <w:tcW w:w="884" w:type="dxa"/>
          </w:tcPr>
          <w:p w14:paraId="546350BC" w14:textId="77777777" w:rsidR="0081767C" w:rsidRPr="000634A4" w:rsidRDefault="0081767C" w:rsidP="0081767C">
            <w:pPr>
              <w:rPr>
                <w:snapToGrid w:val="0"/>
                <w:sz w:val="22"/>
                <w:szCs w:val="22"/>
              </w:rPr>
            </w:pPr>
          </w:p>
        </w:tc>
        <w:tc>
          <w:tcPr>
            <w:tcW w:w="4515" w:type="dxa"/>
          </w:tcPr>
          <w:p w14:paraId="011D0E1F" w14:textId="77777777" w:rsidR="0081767C" w:rsidRPr="000634A4" w:rsidRDefault="0081767C" w:rsidP="0081767C">
            <w:pPr>
              <w:rPr>
                <w:snapToGrid w:val="0"/>
                <w:sz w:val="22"/>
                <w:szCs w:val="22"/>
              </w:rPr>
            </w:pPr>
            <w:r w:rsidRPr="000634A4">
              <w:rPr>
                <w:snapToGrid w:val="0"/>
                <w:sz w:val="22"/>
                <w:szCs w:val="22"/>
              </w:rPr>
              <w:t>Sarbanes-Oxley Act of 2002.</w:t>
            </w:r>
          </w:p>
        </w:tc>
        <w:tc>
          <w:tcPr>
            <w:tcW w:w="5410" w:type="dxa"/>
            <w:gridSpan w:val="2"/>
          </w:tcPr>
          <w:p w14:paraId="52B37C39" w14:textId="77777777" w:rsidR="0081767C" w:rsidRPr="000634A4" w:rsidRDefault="0081767C" w:rsidP="0081767C">
            <w:pPr>
              <w:rPr>
                <w:snapToGrid w:val="0"/>
                <w:sz w:val="22"/>
                <w:szCs w:val="22"/>
              </w:rPr>
            </w:pPr>
          </w:p>
        </w:tc>
      </w:tr>
      <w:tr w:rsidR="00284F34" w:rsidRPr="000634A4" w14:paraId="54C54029" w14:textId="77777777" w:rsidTr="00220137">
        <w:trPr>
          <w:trHeight w:hRule="exact" w:val="72"/>
        </w:trPr>
        <w:tc>
          <w:tcPr>
            <w:tcW w:w="884" w:type="dxa"/>
          </w:tcPr>
          <w:p w14:paraId="16FD880E" w14:textId="77777777" w:rsidR="0081767C" w:rsidRPr="000634A4" w:rsidRDefault="0081767C" w:rsidP="0081767C">
            <w:pPr>
              <w:rPr>
                <w:snapToGrid w:val="0"/>
                <w:sz w:val="22"/>
                <w:szCs w:val="22"/>
              </w:rPr>
            </w:pPr>
          </w:p>
        </w:tc>
        <w:tc>
          <w:tcPr>
            <w:tcW w:w="4515" w:type="dxa"/>
          </w:tcPr>
          <w:p w14:paraId="17593E01" w14:textId="77777777" w:rsidR="0081767C" w:rsidRPr="000634A4" w:rsidRDefault="0081767C" w:rsidP="0081767C">
            <w:pPr>
              <w:rPr>
                <w:snapToGrid w:val="0"/>
                <w:sz w:val="22"/>
                <w:szCs w:val="22"/>
              </w:rPr>
            </w:pPr>
          </w:p>
        </w:tc>
        <w:tc>
          <w:tcPr>
            <w:tcW w:w="5410" w:type="dxa"/>
            <w:gridSpan w:val="2"/>
          </w:tcPr>
          <w:p w14:paraId="55AC79B0" w14:textId="77777777" w:rsidR="0081767C" w:rsidRPr="000634A4" w:rsidRDefault="0081767C" w:rsidP="0081767C">
            <w:pPr>
              <w:rPr>
                <w:snapToGrid w:val="0"/>
                <w:sz w:val="22"/>
                <w:szCs w:val="22"/>
              </w:rPr>
            </w:pPr>
          </w:p>
        </w:tc>
      </w:tr>
      <w:tr w:rsidR="00284F34" w:rsidRPr="000634A4" w14:paraId="1144BDC6" w14:textId="77777777" w:rsidTr="00220137">
        <w:trPr>
          <w:trHeight w:val="174"/>
        </w:trPr>
        <w:tc>
          <w:tcPr>
            <w:tcW w:w="884" w:type="dxa"/>
          </w:tcPr>
          <w:p w14:paraId="2E3B3BF6" w14:textId="77777777" w:rsidR="0081767C" w:rsidRPr="000634A4" w:rsidRDefault="0081767C" w:rsidP="0081767C">
            <w:pPr>
              <w:rPr>
                <w:snapToGrid w:val="0"/>
                <w:sz w:val="22"/>
                <w:szCs w:val="22"/>
              </w:rPr>
            </w:pPr>
            <w:r w:rsidRPr="000634A4">
              <w:rPr>
                <w:snapToGrid w:val="0"/>
                <w:sz w:val="22"/>
                <w:szCs w:val="22"/>
              </w:rPr>
              <w:t>32.2</w:t>
            </w:r>
          </w:p>
        </w:tc>
        <w:tc>
          <w:tcPr>
            <w:tcW w:w="4515" w:type="dxa"/>
          </w:tcPr>
          <w:p w14:paraId="317828C1" w14:textId="77777777" w:rsidR="0081767C" w:rsidRPr="000634A4" w:rsidRDefault="0081767C" w:rsidP="0081767C">
            <w:pPr>
              <w:rPr>
                <w:snapToGrid w:val="0"/>
                <w:sz w:val="22"/>
                <w:szCs w:val="22"/>
              </w:rPr>
            </w:pPr>
            <w:r w:rsidRPr="000634A4">
              <w:rPr>
                <w:snapToGrid w:val="0"/>
                <w:sz w:val="22"/>
                <w:szCs w:val="22"/>
              </w:rPr>
              <w:t xml:space="preserve">Certification Pursuant to 18 U.S.C. Section </w:t>
            </w:r>
          </w:p>
        </w:tc>
        <w:tc>
          <w:tcPr>
            <w:tcW w:w="5410" w:type="dxa"/>
            <w:gridSpan w:val="2"/>
          </w:tcPr>
          <w:p w14:paraId="69C04C87" w14:textId="77777777" w:rsidR="0081767C" w:rsidRPr="000634A4" w:rsidRDefault="0081767C" w:rsidP="0081767C">
            <w:pPr>
              <w:rPr>
                <w:snapToGrid w:val="0"/>
                <w:sz w:val="22"/>
                <w:szCs w:val="22"/>
              </w:rPr>
            </w:pPr>
            <w:r w:rsidRPr="000634A4">
              <w:rPr>
                <w:snapToGrid w:val="0"/>
                <w:sz w:val="22"/>
                <w:szCs w:val="22"/>
              </w:rPr>
              <w:t>Furnished herewith</w:t>
            </w:r>
          </w:p>
        </w:tc>
      </w:tr>
      <w:tr w:rsidR="00284F34" w:rsidRPr="000634A4" w14:paraId="0DE458AD" w14:textId="77777777" w:rsidTr="00220137">
        <w:trPr>
          <w:trHeight w:val="174"/>
        </w:trPr>
        <w:tc>
          <w:tcPr>
            <w:tcW w:w="884" w:type="dxa"/>
          </w:tcPr>
          <w:p w14:paraId="15310988" w14:textId="77777777" w:rsidR="0081767C" w:rsidRPr="000634A4" w:rsidRDefault="0081767C" w:rsidP="0081767C">
            <w:pPr>
              <w:rPr>
                <w:snapToGrid w:val="0"/>
                <w:sz w:val="22"/>
                <w:szCs w:val="22"/>
              </w:rPr>
            </w:pPr>
          </w:p>
        </w:tc>
        <w:tc>
          <w:tcPr>
            <w:tcW w:w="4515" w:type="dxa"/>
          </w:tcPr>
          <w:p w14:paraId="15476D84" w14:textId="77777777" w:rsidR="0081767C" w:rsidRPr="000634A4" w:rsidRDefault="0081767C" w:rsidP="0081767C">
            <w:pPr>
              <w:rPr>
                <w:snapToGrid w:val="0"/>
                <w:sz w:val="22"/>
                <w:szCs w:val="22"/>
              </w:rPr>
            </w:pPr>
            <w:r w:rsidRPr="000634A4">
              <w:rPr>
                <w:snapToGrid w:val="0"/>
                <w:sz w:val="22"/>
                <w:szCs w:val="22"/>
              </w:rPr>
              <w:t xml:space="preserve">1350, as adopted pursuant to Section 906 of the </w:t>
            </w:r>
          </w:p>
        </w:tc>
        <w:tc>
          <w:tcPr>
            <w:tcW w:w="5410" w:type="dxa"/>
            <w:gridSpan w:val="2"/>
          </w:tcPr>
          <w:p w14:paraId="704122E3" w14:textId="77777777" w:rsidR="0081767C" w:rsidRPr="000634A4" w:rsidRDefault="0081767C" w:rsidP="0081767C">
            <w:pPr>
              <w:rPr>
                <w:snapToGrid w:val="0"/>
                <w:sz w:val="22"/>
                <w:szCs w:val="22"/>
              </w:rPr>
            </w:pPr>
          </w:p>
        </w:tc>
      </w:tr>
      <w:tr w:rsidR="00284F34" w:rsidRPr="000634A4" w14:paraId="7DC567FC" w14:textId="77777777" w:rsidTr="00220137">
        <w:trPr>
          <w:trHeight w:val="115"/>
        </w:trPr>
        <w:tc>
          <w:tcPr>
            <w:tcW w:w="884" w:type="dxa"/>
          </w:tcPr>
          <w:p w14:paraId="0C2AA238" w14:textId="77777777" w:rsidR="0081767C" w:rsidRPr="000634A4" w:rsidRDefault="0081767C" w:rsidP="0081767C">
            <w:pPr>
              <w:rPr>
                <w:snapToGrid w:val="0"/>
                <w:sz w:val="22"/>
                <w:szCs w:val="22"/>
              </w:rPr>
            </w:pPr>
          </w:p>
        </w:tc>
        <w:tc>
          <w:tcPr>
            <w:tcW w:w="4515" w:type="dxa"/>
          </w:tcPr>
          <w:p w14:paraId="5A9DE8C0" w14:textId="77777777" w:rsidR="0081767C" w:rsidRPr="000634A4" w:rsidRDefault="0081767C" w:rsidP="0081767C">
            <w:pPr>
              <w:rPr>
                <w:snapToGrid w:val="0"/>
                <w:sz w:val="22"/>
                <w:szCs w:val="22"/>
              </w:rPr>
            </w:pPr>
            <w:r w:rsidRPr="000634A4">
              <w:rPr>
                <w:snapToGrid w:val="0"/>
                <w:sz w:val="22"/>
                <w:szCs w:val="22"/>
              </w:rPr>
              <w:t>Sarbanes-Oxley Act of 2002.</w:t>
            </w:r>
          </w:p>
        </w:tc>
        <w:tc>
          <w:tcPr>
            <w:tcW w:w="5410" w:type="dxa"/>
            <w:gridSpan w:val="2"/>
          </w:tcPr>
          <w:p w14:paraId="76F7069B" w14:textId="77777777" w:rsidR="0081767C" w:rsidRPr="000634A4" w:rsidRDefault="0081767C" w:rsidP="0081767C">
            <w:pPr>
              <w:rPr>
                <w:snapToGrid w:val="0"/>
                <w:sz w:val="22"/>
                <w:szCs w:val="22"/>
              </w:rPr>
            </w:pPr>
          </w:p>
        </w:tc>
      </w:tr>
      <w:tr w:rsidR="00284F34" w:rsidRPr="000634A4" w14:paraId="154BDCF5" w14:textId="77777777" w:rsidTr="00220137">
        <w:trPr>
          <w:trHeight w:val="174"/>
        </w:trPr>
        <w:tc>
          <w:tcPr>
            <w:tcW w:w="884" w:type="dxa"/>
          </w:tcPr>
          <w:p w14:paraId="19331C2B" w14:textId="77777777" w:rsidR="0081767C" w:rsidRPr="000634A4" w:rsidRDefault="0081767C" w:rsidP="0081767C">
            <w:pPr>
              <w:rPr>
                <w:snapToGrid w:val="0"/>
                <w:sz w:val="22"/>
                <w:szCs w:val="22"/>
              </w:rPr>
            </w:pPr>
          </w:p>
        </w:tc>
        <w:tc>
          <w:tcPr>
            <w:tcW w:w="4515" w:type="dxa"/>
          </w:tcPr>
          <w:p w14:paraId="58CC6D92" w14:textId="77777777" w:rsidR="0081767C" w:rsidRPr="000634A4" w:rsidRDefault="0081767C" w:rsidP="0081767C">
            <w:pPr>
              <w:rPr>
                <w:snapToGrid w:val="0"/>
                <w:sz w:val="22"/>
                <w:szCs w:val="22"/>
              </w:rPr>
            </w:pPr>
          </w:p>
        </w:tc>
        <w:tc>
          <w:tcPr>
            <w:tcW w:w="5410" w:type="dxa"/>
            <w:gridSpan w:val="2"/>
          </w:tcPr>
          <w:p w14:paraId="35944C9C" w14:textId="77777777" w:rsidR="0081767C" w:rsidRPr="000634A4" w:rsidRDefault="0081767C" w:rsidP="0081767C">
            <w:pPr>
              <w:rPr>
                <w:snapToGrid w:val="0"/>
                <w:sz w:val="22"/>
                <w:szCs w:val="22"/>
              </w:rPr>
            </w:pPr>
          </w:p>
        </w:tc>
      </w:tr>
      <w:tr w:rsidR="00284F34" w:rsidRPr="000634A4" w14:paraId="1B7C5E30" w14:textId="77777777" w:rsidTr="00220137">
        <w:trPr>
          <w:trHeight w:val="174"/>
        </w:trPr>
        <w:tc>
          <w:tcPr>
            <w:tcW w:w="884" w:type="dxa"/>
          </w:tcPr>
          <w:p w14:paraId="11C6F373" w14:textId="1E1B191B" w:rsidR="0081767C" w:rsidRPr="000634A4" w:rsidRDefault="0081767C" w:rsidP="0081767C">
            <w:pPr>
              <w:rPr>
                <w:snapToGrid w:val="0"/>
                <w:sz w:val="22"/>
                <w:szCs w:val="22"/>
              </w:rPr>
            </w:pPr>
            <w:r w:rsidRPr="000634A4">
              <w:rPr>
                <w:sz w:val="22"/>
                <w:szCs w:val="22"/>
              </w:rPr>
              <w:t>101</w:t>
            </w:r>
          </w:p>
        </w:tc>
        <w:tc>
          <w:tcPr>
            <w:tcW w:w="4515" w:type="dxa"/>
          </w:tcPr>
          <w:p w14:paraId="52C35135" w14:textId="406305E3" w:rsidR="0081767C" w:rsidRPr="000634A4" w:rsidRDefault="0081767C" w:rsidP="0081767C">
            <w:pPr>
              <w:rPr>
                <w:snapToGrid w:val="0"/>
                <w:sz w:val="22"/>
                <w:szCs w:val="22"/>
              </w:rPr>
            </w:pPr>
            <w:r w:rsidRPr="000634A4">
              <w:rPr>
                <w:sz w:val="22"/>
                <w:szCs w:val="22"/>
              </w:rPr>
              <w:t xml:space="preserve">Interactive data files pursuant to Rule 405 of              </w:t>
            </w:r>
          </w:p>
          <w:p w14:paraId="18764B50" w14:textId="2A0F3639" w:rsidR="0081767C" w:rsidRPr="000634A4" w:rsidRDefault="0081767C" w:rsidP="0081767C">
            <w:pPr>
              <w:rPr>
                <w:snapToGrid w:val="0"/>
                <w:sz w:val="22"/>
                <w:szCs w:val="22"/>
              </w:rPr>
            </w:pPr>
            <w:r w:rsidRPr="000634A4">
              <w:rPr>
                <w:sz w:val="22"/>
                <w:szCs w:val="22"/>
              </w:rPr>
              <w:t xml:space="preserve">  Regulation S-T: (i) the Consolidated Balance Sheets, (ii) the Consolidated Statements of Operations and Comprehensive Loss, (iii) the Consolidated Statements of Stockholders’ Equity, (iv) the Consolidated Statements of Cash Flows </w:t>
            </w:r>
            <w:r w:rsidRPr="000634A4">
              <w:rPr>
                <w:sz w:val="22"/>
                <w:szCs w:val="22"/>
              </w:rPr>
              <w:lastRenderedPageBreak/>
              <w:t>and (v) the Notes to the Consolidated Financial Statements</w:t>
            </w:r>
          </w:p>
        </w:tc>
        <w:tc>
          <w:tcPr>
            <w:tcW w:w="5410" w:type="dxa"/>
            <w:gridSpan w:val="2"/>
          </w:tcPr>
          <w:p w14:paraId="0D33E8F3" w14:textId="31E5B91F" w:rsidR="0081767C" w:rsidRPr="000634A4" w:rsidRDefault="0081767C" w:rsidP="0081767C">
            <w:pPr>
              <w:rPr>
                <w:snapToGrid w:val="0"/>
                <w:sz w:val="22"/>
                <w:szCs w:val="22"/>
              </w:rPr>
            </w:pPr>
            <w:r w:rsidRPr="000634A4">
              <w:rPr>
                <w:snapToGrid w:val="0"/>
                <w:sz w:val="22"/>
                <w:szCs w:val="22"/>
              </w:rPr>
              <w:lastRenderedPageBreak/>
              <w:t>Filed herewith</w:t>
            </w:r>
          </w:p>
        </w:tc>
      </w:tr>
      <w:tr w:rsidR="00284F34" w:rsidRPr="000634A4" w14:paraId="66655102" w14:textId="77777777" w:rsidTr="00220137">
        <w:trPr>
          <w:trHeight w:val="174"/>
        </w:trPr>
        <w:tc>
          <w:tcPr>
            <w:tcW w:w="884" w:type="dxa"/>
          </w:tcPr>
          <w:p w14:paraId="3FF60F1C" w14:textId="77777777" w:rsidR="0081767C" w:rsidRPr="000634A4" w:rsidRDefault="0081767C" w:rsidP="0081767C">
            <w:pPr>
              <w:rPr>
                <w:sz w:val="22"/>
                <w:szCs w:val="22"/>
              </w:rPr>
            </w:pPr>
          </w:p>
        </w:tc>
        <w:tc>
          <w:tcPr>
            <w:tcW w:w="4515" w:type="dxa"/>
          </w:tcPr>
          <w:p w14:paraId="5DAE7F29" w14:textId="77777777" w:rsidR="0081767C" w:rsidRPr="000634A4" w:rsidRDefault="0081767C" w:rsidP="0081767C">
            <w:pPr>
              <w:rPr>
                <w:sz w:val="22"/>
                <w:szCs w:val="22"/>
              </w:rPr>
            </w:pPr>
          </w:p>
        </w:tc>
        <w:tc>
          <w:tcPr>
            <w:tcW w:w="5410" w:type="dxa"/>
            <w:gridSpan w:val="2"/>
          </w:tcPr>
          <w:p w14:paraId="0A512782" w14:textId="77777777" w:rsidR="0081767C" w:rsidRPr="000634A4" w:rsidRDefault="0081767C" w:rsidP="0081767C">
            <w:pPr>
              <w:rPr>
                <w:snapToGrid w:val="0"/>
                <w:sz w:val="22"/>
                <w:szCs w:val="22"/>
              </w:rPr>
            </w:pPr>
          </w:p>
        </w:tc>
      </w:tr>
      <w:tr w:rsidR="00284F34" w:rsidRPr="000634A4" w14:paraId="31DA79E9" w14:textId="77777777" w:rsidTr="00220137">
        <w:trPr>
          <w:trHeight w:val="174"/>
        </w:trPr>
        <w:tc>
          <w:tcPr>
            <w:tcW w:w="884" w:type="dxa"/>
          </w:tcPr>
          <w:p w14:paraId="6FC85FD8" w14:textId="4C849BE4" w:rsidR="0081767C" w:rsidRPr="000634A4" w:rsidRDefault="0081767C" w:rsidP="0081767C">
            <w:pPr>
              <w:rPr>
                <w:sz w:val="22"/>
                <w:szCs w:val="22"/>
              </w:rPr>
            </w:pPr>
            <w:bookmarkStart w:id="80" w:name="_Hlk95225329"/>
            <w:r w:rsidRPr="000634A4">
              <w:rPr>
                <w:sz w:val="22"/>
                <w:szCs w:val="22"/>
              </w:rPr>
              <w:t>104</w:t>
            </w:r>
          </w:p>
        </w:tc>
        <w:tc>
          <w:tcPr>
            <w:tcW w:w="4515" w:type="dxa"/>
          </w:tcPr>
          <w:p w14:paraId="7511DF7F" w14:textId="08A62FCD" w:rsidR="0081767C" w:rsidRPr="000634A4" w:rsidRDefault="0081767C" w:rsidP="0081767C">
            <w:pPr>
              <w:rPr>
                <w:sz w:val="22"/>
                <w:szCs w:val="22"/>
              </w:rPr>
            </w:pPr>
            <w:r w:rsidRPr="000634A4">
              <w:rPr>
                <w:sz w:val="22"/>
                <w:szCs w:val="22"/>
              </w:rPr>
              <w:t xml:space="preserve">Cover Page Interactive Data File </w:t>
            </w:r>
          </w:p>
        </w:tc>
        <w:tc>
          <w:tcPr>
            <w:tcW w:w="5410" w:type="dxa"/>
            <w:gridSpan w:val="2"/>
          </w:tcPr>
          <w:p w14:paraId="49B7F90E" w14:textId="401A4F93" w:rsidR="0081767C" w:rsidRPr="000634A4" w:rsidRDefault="0081767C" w:rsidP="0081767C">
            <w:pPr>
              <w:rPr>
                <w:snapToGrid w:val="0"/>
                <w:sz w:val="22"/>
                <w:szCs w:val="22"/>
              </w:rPr>
            </w:pPr>
            <w:r w:rsidRPr="000634A4">
              <w:rPr>
                <w:sz w:val="22"/>
                <w:szCs w:val="22"/>
              </w:rPr>
              <w:t>Included in Exhibit 101.</w:t>
            </w:r>
          </w:p>
        </w:tc>
      </w:tr>
    </w:tbl>
    <w:bookmarkEnd w:id="80"/>
    <w:p w14:paraId="1A686624" w14:textId="645B500E" w:rsidR="00875805" w:rsidRPr="000634A4" w:rsidRDefault="004812D3" w:rsidP="00875805">
      <w:pPr>
        <w:rPr>
          <w:sz w:val="22"/>
          <w:szCs w:val="22"/>
        </w:rPr>
      </w:pPr>
      <w:r w:rsidRPr="000634A4">
        <w:rPr>
          <w:sz w:val="22"/>
          <w:szCs w:val="22"/>
        </w:rPr>
        <w:t xml:space="preserve">           </w:t>
      </w:r>
    </w:p>
    <w:p w14:paraId="32234354" w14:textId="52035C70" w:rsidR="004812D3" w:rsidRPr="000634A4" w:rsidRDefault="004812D3" w:rsidP="00220137">
      <w:pPr>
        <w:rPr>
          <w:sz w:val="22"/>
          <w:szCs w:val="22"/>
        </w:rPr>
      </w:pPr>
    </w:p>
    <w:p w14:paraId="0D8CF853" w14:textId="77777777" w:rsidR="00B55309" w:rsidRPr="000634A4" w:rsidRDefault="00B55309" w:rsidP="00B55309">
      <w:pPr>
        <w:tabs>
          <w:tab w:val="left" w:pos="-720"/>
        </w:tabs>
        <w:outlineLvl w:val="0"/>
        <w:rPr>
          <w:sz w:val="22"/>
          <w:szCs w:val="22"/>
        </w:rPr>
      </w:pPr>
      <w:r w:rsidRPr="000634A4">
        <w:rPr>
          <w:b/>
          <w:sz w:val="22"/>
          <w:szCs w:val="22"/>
        </w:rPr>
        <w:t xml:space="preserve">* </w:t>
      </w:r>
      <w:r w:rsidRPr="000634A4">
        <w:rPr>
          <w:sz w:val="22"/>
          <w:szCs w:val="22"/>
        </w:rPr>
        <w:t>Exhibit represents a management contract or compensatory plan, contract or arrangement required to be filed as Exhibits to this Annual Report on Form 10-K.</w:t>
      </w:r>
    </w:p>
    <w:p w14:paraId="741F4A89" w14:textId="77777777" w:rsidR="00B55309" w:rsidRPr="000634A4" w:rsidRDefault="00B55309" w:rsidP="00ED65FB">
      <w:pPr>
        <w:pStyle w:val="NormalWeb"/>
        <w:spacing w:before="0" w:beforeAutospacing="0" w:after="0" w:afterAutospacing="0"/>
        <w:jc w:val="both"/>
        <w:rPr>
          <w:rFonts w:ascii="Times Roman" w:hAnsi="Times Roman"/>
          <w:sz w:val="22"/>
          <w:szCs w:val="22"/>
        </w:rPr>
      </w:pPr>
    </w:p>
    <w:p w14:paraId="6F7B676C" w14:textId="77777777" w:rsidR="00B55309" w:rsidRPr="000634A4" w:rsidRDefault="00B55309" w:rsidP="00ED65FB">
      <w:pPr>
        <w:pStyle w:val="NormalWeb"/>
        <w:spacing w:before="0" w:beforeAutospacing="0" w:after="0" w:afterAutospacing="0"/>
        <w:jc w:val="both"/>
        <w:rPr>
          <w:rFonts w:ascii="Times Roman" w:hAnsi="Times Roman"/>
          <w:sz w:val="22"/>
          <w:szCs w:val="22"/>
        </w:rPr>
      </w:pPr>
    </w:p>
    <w:p w14:paraId="6C3B8B99" w14:textId="77777777" w:rsidR="00B55309" w:rsidRPr="000634A4" w:rsidRDefault="00B55309" w:rsidP="00ED65FB">
      <w:pPr>
        <w:pStyle w:val="NormalWeb"/>
        <w:spacing w:before="0" w:beforeAutospacing="0" w:after="0" w:afterAutospacing="0"/>
        <w:jc w:val="both"/>
        <w:rPr>
          <w:rFonts w:ascii="Times Roman" w:hAnsi="Times Roman"/>
          <w:sz w:val="22"/>
          <w:szCs w:val="22"/>
        </w:rPr>
      </w:pPr>
    </w:p>
    <w:p w14:paraId="4367660A" w14:textId="77777777" w:rsidR="00B55309" w:rsidRPr="000634A4" w:rsidRDefault="00B55309" w:rsidP="00ED65FB">
      <w:pPr>
        <w:pStyle w:val="NormalWeb"/>
        <w:spacing w:before="0" w:beforeAutospacing="0" w:after="0" w:afterAutospacing="0"/>
        <w:jc w:val="both"/>
        <w:rPr>
          <w:rFonts w:ascii="Times Roman" w:hAnsi="Times Roman"/>
          <w:sz w:val="22"/>
          <w:szCs w:val="22"/>
        </w:rPr>
      </w:pPr>
    </w:p>
    <w:p w14:paraId="70C27867" w14:textId="77777777" w:rsidR="00B55309" w:rsidRPr="000634A4" w:rsidRDefault="00B55309" w:rsidP="00ED65FB">
      <w:pPr>
        <w:pStyle w:val="NormalWeb"/>
        <w:spacing w:before="0" w:beforeAutospacing="0" w:after="0" w:afterAutospacing="0"/>
        <w:jc w:val="both"/>
        <w:rPr>
          <w:rFonts w:ascii="Times Roman" w:hAnsi="Times Roman"/>
          <w:sz w:val="22"/>
          <w:szCs w:val="22"/>
        </w:rPr>
      </w:pPr>
    </w:p>
    <w:p w14:paraId="6F920166" w14:textId="77777777" w:rsidR="00B55309" w:rsidRPr="000634A4" w:rsidRDefault="00B55309" w:rsidP="00ED65FB">
      <w:pPr>
        <w:pStyle w:val="NormalWeb"/>
        <w:spacing w:before="0" w:beforeAutospacing="0" w:after="0" w:afterAutospacing="0"/>
        <w:jc w:val="both"/>
        <w:rPr>
          <w:rFonts w:ascii="Times Roman" w:hAnsi="Times Roman"/>
          <w:sz w:val="22"/>
          <w:szCs w:val="22"/>
        </w:rPr>
      </w:pPr>
    </w:p>
    <w:p w14:paraId="4F4C9B2B" w14:textId="142F5CB8" w:rsidR="00B55309" w:rsidRPr="000634A4" w:rsidRDefault="00B55309" w:rsidP="00ED65FB">
      <w:pPr>
        <w:pStyle w:val="NormalWeb"/>
        <w:spacing w:before="0" w:beforeAutospacing="0" w:after="0" w:afterAutospacing="0"/>
        <w:jc w:val="both"/>
        <w:rPr>
          <w:rFonts w:ascii="Times Roman" w:hAnsi="Times Roman"/>
          <w:sz w:val="22"/>
          <w:szCs w:val="22"/>
        </w:rPr>
      </w:pPr>
    </w:p>
    <w:p w14:paraId="7804CD71" w14:textId="551430AD" w:rsidR="005B3C47" w:rsidRPr="000634A4" w:rsidRDefault="005B3C47" w:rsidP="00ED65FB">
      <w:pPr>
        <w:pStyle w:val="NormalWeb"/>
        <w:spacing w:before="0" w:beforeAutospacing="0" w:after="0" w:afterAutospacing="0"/>
        <w:jc w:val="both"/>
        <w:rPr>
          <w:rFonts w:ascii="Times Roman" w:hAnsi="Times Roman"/>
          <w:sz w:val="22"/>
          <w:szCs w:val="22"/>
        </w:rPr>
      </w:pPr>
    </w:p>
    <w:p w14:paraId="029C4D18" w14:textId="414648F1" w:rsidR="005B3C47" w:rsidRPr="000634A4" w:rsidRDefault="005B3C47" w:rsidP="00ED65FB">
      <w:pPr>
        <w:pStyle w:val="NormalWeb"/>
        <w:spacing w:before="0" w:beforeAutospacing="0" w:after="0" w:afterAutospacing="0"/>
        <w:jc w:val="both"/>
        <w:rPr>
          <w:rFonts w:ascii="Times Roman" w:hAnsi="Times Roman"/>
          <w:sz w:val="22"/>
          <w:szCs w:val="22"/>
        </w:rPr>
      </w:pPr>
    </w:p>
    <w:p w14:paraId="40691A5F" w14:textId="1B2590AC" w:rsidR="005B3C47" w:rsidRPr="000634A4" w:rsidRDefault="005B3C47" w:rsidP="00ED65FB">
      <w:pPr>
        <w:pStyle w:val="NormalWeb"/>
        <w:spacing w:before="0" w:beforeAutospacing="0" w:after="0" w:afterAutospacing="0"/>
        <w:jc w:val="both"/>
        <w:rPr>
          <w:rFonts w:ascii="Times Roman" w:hAnsi="Times Roman"/>
          <w:sz w:val="22"/>
          <w:szCs w:val="22"/>
        </w:rPr>
      </w:pPr>
    </w:p>
    <w:p w14:paraId="0B2BC804" w14:textId="4288BFED" w:rsidR="005B3C47" w:rsidRPr="000634A4" w:rsidRDefault="005B3C47" w:rsidP="00ED65FB">
      <w:pPr>
        <w:pStyle w:val="NormalWeb"/>
        <w:spacing w:before="0" w:beforeAutospacing="0" w:after="0" w:afterAutospacing="0"/>
        <w:jc w:val="both"/>
        <w:rPr>
          <w:rFonts w:ascii="Times Roman" w:hAnsi="Times Roman"/>
          <w:sz w:val="22"/>
          <w:szCs w:val="22"/>
        </w:rPr>
      </w:pPr>
    </w:p>
    <w:p w14:paraId="1337CF2D" w14:textId="4A947927" w:rsidR="00220137" w:rsidRPr="000634A4" w:rsidRDefault="00220137" w:rsidP="00ED65FB">
      <w:pPr>
        <w:pStyle w:val="NormalWeb"/>
        <w:spacing w:before="0" w:beforeAutospacing="0" w:after="0" w:afterAutospacing="0"/>
        <w:jc w:val="both"/>
        <w:rPr>
          <w:rFonts w:ascii="Times Roman" w:hAnsi="Times Roman"/>
          <w:sz w:val="22"/>
          <w:szCs w:val="22"/>
        </w:rPr>
      </w:pPr>
    </w:p>
    <w:p w14:paraId="3CF8A390" w14:textId="5A54D5FF" w:rsidR="00220137" w:rsidRPr="000634A4" w:rsidRDefault="00220137" w:rsidP="00ED65FB">
      <w:pPr>
        <w:pStyle w:val="NormalWeb"/>
        <w:spacing w:before="0" w:beforeAutospacing="0" w:after="0" w:afterAutospacing="0"/>
        <w:jc w:val="both"/>
        <w:rPr>
          <w:rFonts w:ascii="Times Roman" w:hAnsi="Times Roman"/>
          <w:sz w:val="22"/>
          <w:szCs w:val="22"/>
        </w:rPr>
      </w:pPr>
    </w:p>
    <w:p w14:paraId="03A28230" w14:textId="3FE1DF79" w:rsidR="00220137" w:rsidRPr="000634A4" w:rsidRDefault="00220137" w:rsidP="00ED65FB">
      <w:pPr>
        <w:pStyle w:val="NormalWeb"/>
        <w:spacing w:before="0" w:beforeAutospacing="0" w:after="0" w:afterAutospacing="0"/>
        <w:jc w:val="both"/>
        <w:rPr>
          <w:rFonts w:ascii="Times Roman" w:hAnsi="Times Roman"/>
          <w:sz w:val="22"/>
          <w:szCs w:val="22"/>
        </w:rPr>
      </w:pPr>
    </w:p>
    <w:p w14:paraId="5746FA00" w14:textId="73E2BFDB" w:rsidR="00220137" w:rsidRPr="000634A4" w:rsidRDefault="00220137" w:rsidP="00ED65FB">
      <w:pPr>
        <w:pStyle w:val="NormalWeb"/>
        <w:spacing w:before="0" w:beforeAutospacing="0" w:after="0" w:afterAutospacing="0"/>
        <w:jc w:val="both"/>
        <w:rPr>
          <w:rFonts w:ascii="Times Roman" w:hAnsi="Times Roman"/>
          <w:sz w:val="22"/>
          <w:szCs w:val="22"/>
        </w:rPr>
      </w:pPr>
    </w:p>
    <w:p w14:paraId="5CE7301D" w14:textId="47D60611" w:rsidR="00220137" w:rsidRPr="000634A4" w:rsidRDefault="00220137" w:rsidP="00ED65FB">
      <w:pPr>
        <w:pStyle w:val="NormalWeb"/>
        <w:spacing w:before="0" w:beforeAutospacing="0" w:after="0" w:afterAutospacing="0"/>
        <w:jc w:val="both"/>
        <w:rPr>
          <w:rFonts w:ascii="Times Roman" w:hAnsi="Times Roman"/>
          <w:sz w:val="22"/>
          <w:szCs w:val="22"/>
        </w:rPr>
      </w:pPr>
    </w:p>
    <w:p w14:paraId="78B390CA" w14:textId="7CC552E9" w:rsidR="00220137" w:rsidRPr="000634A4" w:rsidRDefault="00220137" w:rsidP="00ED65FB">
      <w:pPr>
        <w:pStyle w:val="NormalWeb"/>
        <w:spacing w:before="0" w:beforeAutospacing="0" w:after="0" w:afterAutospacing="0"/>
        <w:jc w:val="both"/>
        <w:rPr>
          <w:rFonts w:ascii="Times Roman" w:hAnsi="Times Roman"/>
          <w:sz w:val="22"/>
          <w:szCs w:val="22"/>
        </w:rPr>
      </w:pPr>
    </w:p>
    <w:p w14:paraId="390AA08B" w14:textId="56E2F51E" w:rsidR="00220137" w:rsidRPr="000634A4" w:rsidRDefault="00220137" w:rsidP="00ED65FB">
      <w:pPr>
        <w:pStyle w:val="NormalWeb"/>
        <w:spacing w:before="0" w:beforeAutospacing="0" w:after="0" w:afterAutospacing="0"/>
        <w:jc w:val="both"/>
        <w:rPr>
          <w:rFonts w:ascii="Times Roman" w:hAnsi="Times Roman"/>
          <w:sz w:val="22"/>
          <w:szCs w:val="22"/>
        </w:rPr>
      </w:pPr>
    </w:p>
    <w:p w14:paraId="5BE26905" w14:textId="6D937B8A" w:rsidR="00220137" w:rsidRPr="000634A4" w:rsidRDefault="00220137" w:rsidP="00ED65FB">
      <w:pPr>
        <w:pStyle w:val="NormalWeb"/>
        <w:spacing w:before="0" w:beforeAutospacing="0" w:after="0" w:afterAutospacing="0"/>
        <w:jc w:val="both"/>
        <w:rPr>
          <w:rFonts w:ascii="Times Roman" w:hAnsi="Times Roman"/>
          <w:sz w:val="22"/>
          <w:szCs w:val="22"/>
        </w:rPr>
      </w:pPr>
    </w:p>
    <w:p w14:paraId="4DF7467B" w14:textId="1139C656" w:rsidR="00220137" w:rsidRPr="000634A4" w:rsidRDefault="00220137" w:rsidP="00ED65FB">
      <w:pPr>
        <w:pStyle w:val="NormalWeb"/>
        <w:spacing w:before="0" w:beforeAutospacing="0" w:after="0" w:afterAutospacing="0"/>
        <w:jc w:val="both"/>
        <w:rPr>
          <w:rFonts w:ascii="Times Roman" w:hAnsi="Times Roman"/>
          <w:sz w:val="22"/>
          <w:szCs w:val="22"/>
        </w:rPr>
      </w:pPr>
    </w:p>
    <w:p w14:paraId="707A805F" w14:textId="51A96626" w:rsidR="00220137" w:rsidRPr="000634A4" w:rsidRDefault="00220137" w:rsidP="00ED65FB">
      <w:pPr>
        <w:pStyle w:val="NormalWeb"/>
        <w:spacing w:before="0" w:beforeAutospacing="0" w:after="0" w:afterAutospacing="0"/>
        <w:jc w:val="both"/>
        <w:rPr>
          <w:rFonts w:ascii="Times Roman" w:hAnsi="Times Roman"/>
          <w:sz w:val="22"/>
          <w:szCs w:val="22"/>
        </w:rPr>
      </w:pPr>
    </w:p>
    <w:p w14:paraId="6AC09260" w14:textId="21F35B45" w:rsidR="00220137" w:rsidRPr="000634A4" w:rsidRDefault="00220137" w:rsidP="00ED65FB">
      <w:pPr>
        <w:pStyle w:val="NormalWeb"/>
        <w:spacing w:before="0" w:beforeAutospacing="0" w:after="0" w:afterAutospacing="0"/>
        <w:jc w:val="both"/>
        <w:rPr>
          <w:rFonts w:ascii="Times Roman" w:hAnsi="Times Roman"/>
          <w:sz w:val="22"/>
          <w:szCs w:val="22"/>
        </w:rPr>
      </w:pPr>
    </w:p>
    <w:p w14:paraId="100128E8" w14:textId="512CA16D" w:rsidR="00220137" w:rsidRPr="000634A4" w:rsidRDefault="00220137" w:rsidP="00ED65FB">
      <w:pPr>
        <w:pStyle w:val="NormalWeb"/>
        <w:spacing w:before="0" w:beforeAutospacing="0" w:after="0" w:afterAutospacing="0"/>
        <w:jc w:val="both"/>
        <w:rPr>
          <w:rFonts w:ascii="Times Roman" w:hAnsi="Times Roman"/>
          <w:sz w:val="22"/>
          <w:szCs w:val="22"/>
        </w:rPr>
      </w:pPr>
    </w:p>
    <w:p w14:paraId="3839A6E5" w14:textId="1838B817" w:rsidR="00220137" w:rsidRPr="000634A4" w:rsidRDefault="00220137" w:rsidP="00ED65FB">
      <w:pPr>
        <w:pStyle w:val="NormalWeb"/>
        <w:spacing w:before="0" w:beforeAutospacing="0" w:after="0" w:afterAutospacing="0"/>
        <w:jc w:val="both"/>
        <w:rPr>
          <w:rFonts w:ascii="Times Roman" w:hAnsi="Times Roman"/>
          <w:sz w:val="22"/>
          <w:szCs w:val="22"/>
        </w:rPr>
      </w:pPr>
    </w:p>
    <w:p w14:paraId="52FB11E0" w14:textId="77777777" w:rsidR="00220137" w:rsidRPr="000634A4" w:rsidRDefault="00220137" w:rsidP="00ED65FB">
      <w:pPr>
        <w:pStyle w:val="NormalWeb"/>
        <w:spacing w:before="0" w:beforeAutospacing="0" w:after="0" w:afterAutospacing="0"/>
        <w:jc w:val="both"/>
        <w:rPr>
          <w:rFonts w:ascii="Times Roman" w:hAnsi="Times Roman"/>
          <w:sz w:val="22"/>
          <w:szCs w:val="22"/>
        </w:rPr>
      </w:pPr>
    </w:p>
    <w:p w14:paraId="48E996DD" w14:textId="4B3C3CFD" w:rsidR="00B55309" w:rsidRPr="000634A4" w:rsidRDefault="00B55309" w:rsidP="00ED65FB">
      <w:pPr>
        <w:pStyle w:val="NormalWeb"/>
        <w:spacing w:before="0" w:beforeAutospacing="0" w:after="0" w:afterAutospacing="0"/>
        <w:jc w:val="both"/>
        <w:rPr>
          <w:rFonts w:ascii="Times Roman" w:hAnsi="Times Roman"/>
          <w:sz w:val="22"/>
          <w:szCs w:val="22"/>
        </w:rPr>
      </w:pPr>
    </w:p>
    <w:p w14:paraId="60FC9225" w14:textId="4ED435E8" w:rsidR="00220137" w:rsidRPr="000634A4" w:rsidRDefault="00220137" w:rsidP="00ED65FB">
      <w:pPr>
        <w:pStyle w:val="NormalWeb"/>
        <w:spacing w:before="0" w:beforeAutospacing="0" w:after="0" w:afterAutospacing="0"/>
        <w:jc w:val="both"/>
        <w:rPr>
          <w:rFonts w:ascii="Times Roman" w:hAnsi="Times Roman"/>
          <w:sz w:val="22"/>
          <w:szCs w:val="22"/>
        </w:rPr>
      </w:pPr>
    </w:p>
    <w:p w14:paraId="3E24EC02" w14:textId="7CB56621" w:rsidR="00220137" w:rsidRPr="000634A4" w:rsidRDefault="00220137" w:rsidP="00ED65FB">
      <w:pPr>
        <w:pStyle w:val="NormalWeb"/>
        <w:spacing w:before="0" w:beforeAutospacing="0" w:after="0" w:afterAutospacing="0"/>
        <w:jc w:val="both"/>
        <w:rPr>
          <w:rFonts w:ascii="Times Roman" w:hAnsi="Times Roman"/>
          <w:sz w:val="22"/>
          <w:szCs w:val="22"/>
        </w:rPr>
      </w:pPr>
    </w:p>
    <w:p w14:paraId="561BF2B4" w14:textId="7A27194D" w:rsidR="00220137" w:rsidRPr="000634A4" w:rsidRDefault="00220137" w:rsidP="00ED65FB">
      <w:pPr>
        <w:pStyle w:val="NormalWeb"/>
        <w:spacing w:before="0" w:beforeAutospacing="0" w:after="0" w:afterAutospacing="0"/>
        <w:jc w:val="both"/>
        <w:rPr>
          <w:rFonts w:ascii="Times Roman" w:hAnsi="Times Roman"/>
          <w:sz w:val="22"/>
          <w:szCs w:val="22"/>
        </w:rPr>
      </w:pPr>
    </w:p>
    <w:p w14:paraId="49029955" w14:textId="5ABB8863" w:rsidR="00220137" w:rsidRPr="000634A4" w:rsidRDefault="00220137" w:rsidP="00ED65FB">
      <w:pPr>
        <w:pStyle w:val="NormalWeb"/>
        <w:spacing w:before="0" w:beforeAutospacing="0" w:after="0" w:afterAutospacing="0"/>
        <w:jc w:val="both"/>
        <w:rPr>
          <w:rFonts w:ascii="Times Roman" w:hAnsi="Times Roman"/>
          <w:sz w:val="22"/>
          <w:szCs w:val="22"/>
        </w:rPr>
      </w:pPr>
    </w:p>
    <w:p w14:paraId="676C3074" w14:textId="0B8B9077" w:rsidR="00220137" w:rsidRPr="000634A4" w:rsidRDefault="00220137" w:rsidP="00ED65FB">
      <w:pPr>
        <w:pStyle w:val="NormalWeb"/>
        <w:spacing w:before="0" w:beforeAutospacing="0" w:after="0" w:afterAutospacing="0"/>
        <w:jc w:val="both"/>
        <w:rPr>
          <w:rFonts w:ascii="Times Roman" w:hAnsi="Times Roman"/>
          <w:sz w:val="22"/>
          <w:szCs w:val="22"/>
        </w:rPr>
      </w:pPr>
    </w:p>
    <w:p w14:paraId="0431EE97" w14:textId="192FA6EB" w:rsidR="00220137" w:rsidRPr="000634A4" w:rsidRDefault="00220137" w:rsidP="00ED65FB">
      <w:pPr>
        <w:pStyle w:val="NormalWeb"/>
        <w:spacing w:before="0" w:beforeAutospacing="0" w:after="0" w:afterAutospacing="0"/>
        <w:jc w:val="both"/>
        <w:rPr>
          <w:rFonts w:ascii="Times Roman" w:hAnsi="Times Roman"/>
          <w:sz w:val="22"/>
          <w:szCs w:val="22"/>
        </w:rPr>
      </w:pPr>
    </w:p>
    <w:p w14:paraId="54233733" w14:textId="71CA7C31" w:rsidR="00220137" w:rsidRPr="000634A4" w:rsidRDefault="00220137" w:rsidP="00ED65FB">
      <w:pPr>
        <w:pStyle w:val="NormalWeb"/>
        <w:spacing w:before="0" w:beforeAutospacing="0" w:after="0" w:afterAutospacing="0"/>
        <w:jc w:val="both"/>
        <w:rPr>
          <w:rFonts w:ascii="Times Roman" w:hAnsi="Times Roman"/>
          <w:sz w:val="22"/>
          <w:szCs w:val="22"/>
        </w:rPr>
      </w:pPr>
    </w:p>
    <w:p w14:paraId="000B680E" w14:textId="072725E8" w:rsidR="00220137" w:rsidRPr="000634A4" w:rsidRDefault="00220137" w:rsidP="00ED65FB">
      <w:pPr>
        <w:pStyle w:val="NormalWeb"/>
        <w:spacing w:before="0" w:beforeAutospacing="0" w:after="0" w:afterAutospacing="0"/>
        <w:jc w:val="both"/>
        <w:rPr>
          <w:rFonts w:ascii="Times Roman" w:hAnsi="Times Roman"/>
          <w:sz w:val="22"/>
          <w:szCs w:val="22"/>
        </w:rPr>
      </w:pPr>
    </w:p>
    <w:p w14:paraId="03E5DA60" w14:textId="4AD2177C" w:rsidR="00220137" w:rsidRPr="000634A4" w:rsidRDefault="00220137" w:rsidP="00ED65FB">
      <w:pPr>
        <w:pStyle w:val="NormalWeb"/>
        <w:spacing w:before="0" w:beforeAutospacing="0" w:after="0" w:afterAutospacing="0"/>
        <w:jc w:val="both"/>
        <w:rPr>
          <w:rFonts w:ascii="Times Roman" w:hAnsi="Times Roman"/>
          <w:sz w:val="22"/>
          <w:szCs w:val="22"/>
        </w:rPr>
      </w:pPr>
    </w:p>
    <w:p w14:paraId="78DBCEC1" w14:textId="7DF9B031" w:rsidR="00220137" w:rsidRPr="000634A4" w:rsidRDefault="00220137" w:rsidP="00ED65FB">
      <w:pPr>
        <w:pStyle w:val="NormalWeb"/>
        <w:spacing w:before="0" w:beforeAutospacing="0" w:after="0" w:afterAutospacing="0"/>
        <w:jc w:val="both"/>
        <w:rPr>
          <w:rFonts w:ascii="Times Roman" w:hAnsi="Times Roman"/>
          <w:sz w:val="22"/>
          <w:szCs w:val="22"/>
        </w:rPr>
      </w:pPr>
    </w:p>
    <w:p w14:paraId="6EE941EE" w14:textId="56F2A9CA" w:rsidR="00220137" w:rsidRPr="000634A4" w:rsidRDefault="00220137" w:rsidP="00ED65FB">
      <w:pPr>
        <w:pStyle w:val="NormalWeb"/>
        <w:spacing w:before="0" w:beforeAutospacing="0" w:after="0" w:afterAutospacing="0"/>
        <w:jc w:val="both"/>
        <w:rPr>
          <w:rFonts w:ascii="Times Roman" w:hAnsi="Times Roman"/>
          <w:sz w:val="22"/>
          <w:szCs w:val="22"/>
        </w:rPr>
      </w:pPr>
    </w:p>
    <w:p w14:paraId="36688C17" w14:textId="77777777" w:rsidR="00220137" w:rsidRPr="000634A4" w:rsidRDefault="00220137" w:rsidP="00ED65FB">
      <w:pPr>
        <w:pStyle w:val="NormalWeb"/>
        <w:spacing w:before="0" w:beforeAutospacing="0" w:after="0" w:afterAutospacing="0"/>
        <w:jc w:val="both"/>
        <w:rPr>
          <w:rFonts w:ascii="Times Roman" w:hAnsi="Times Roman"/>
          <w:sz w:val="22"/>
          <w:szCs w:val="22"/>
        </w:rPr>
      </w:pPr>
    </w:p>
    <w:p w14:paraId="444D78BF" w14:textId="1BBA0A74" w:rsidR="00B55309" w:rsidRPr="000634A4" w:rsidRDefault="00B55309" w:rsidP="00ED65FB">
      <w:pPr>
        <w:pStyle w:val="NormalWeb"/>
        <w:spacing w:before="0" w:beforeAutospacing="0" w:after="0" w:afterAutospacing="0"/>
        <w:jc w:val="both"/>
        <w:rPr>
          <w:rFonts w:ascii="Times Roman" w:hAnsi="Times Roman"/>
          <w:sz w:val="22"/>
          <w:szCs w:val="22"/>
        </w:rPr>
      </w:pPr>
    </w:p>
    <w:p w14:paraId="4B2FC1CE" w14:textId="5624E994" w:rsidR="00220137" w:rsidRPr="000634A4" w:rsidRDefault="00220137" w:rsidP="00ED65FB">
      <w:pPr>
        <w:pStyle w:val="NormalWeb"/>
        <w:spacing w:before="0" w:beforeAutospacing="0" w:after="0" w:afterAutospacing="0"/>
        <w:jc w:val="both"/>
        <w:rPr>
          <w:rFonts w:ascii="Times Roman" w:hAnsi="Times Roman"/>
          <w:sz w:val="22"/>
          <w:szCs w:val="22"/>
        </w:rPr>
      </w:pPr>
    </w:p>
    <w:p w14:paraId="6121A9C1" w14:textId="179D940F" w:rsidR="00220137" w:rsidRPr="000634A4" w:rsidRDefault="00220137" w:rsidP="00ED65FB">
      <w:pPr>
        <w:pStyle w:val="NormalWeb"/>
        <w:spacing w:before="0" w:beforeAutospacing="0" w:after="0" w:afterAutospacing="0"/>
        <w:jc w:val="both"/>
        <w:rPr>
          <w:rFonts w:ascii="Times Roman" w:hAnsi="Times Roman"/>
          <w:sz w:val="22"/>
          <w:szCs w:val="22"/>
        </w:rPr>
      </w:pPr>
    </w:p>
    <w:p w14:paraId="1345BB46" w14:textId="2BE8F7B2" w:rsidR="00220137" w:rsidRPr="000634A4" w:rsidRDefault="00220137" w:rsidP="00ED65FB">
      <w:pPr>
        <w:pStyle w:val="NormalWeb"/>
        <w:spacing w:before="0" w:beforeAutospacing="0" w:after="0" w:afterAutospacing="0"/>
        <w:jc w:val="both"/>
        <w:rPr>
          <w:rFonts w:ascii="Times Roman" w:hAnsi="Times Roman"/>
          <w:sz w:val="22"/>
          <w:szCs w:val="22"/>
        </w:rPr>
      </w:pPr>
    </w:p>
    <w:p w14:paraId="23731FCA" w14:textId="2D205D3A" w:rsidR="00220137" w:rsidRPr="000634A4" w:rsidRDefault="00220137" w:rsidP="00ED65FB">
      <w:pPr>
        <w:pStyle w:val="NormalWeb"/>
        <w:spacing w:before="0" w:beforeAutospacing="0" w:after="0" w:afterAutospacing="0"/>
        <w:jc w:val="both"/>
        <w:rPr>
          <w:rFonts w:ascii="Times Roman" w:hAnsi="Times Roman"/>
          <w:sz w:val="22"/>
          <w:szCs w:val="22"/>
        </w:rPr>
      </w:pPr>
    </w:p>
    <w:p w14:paraId="4DA53F14" w14:textId="77777777" w:rsidR="00220137" w:rsidRPr="000634A4" w:rsidRDefault="00220137" w:rsidP="00ED65FB">
      <w:pPr>
        <w:pStyle w:val="NormalWeb"/>
        <w:spacing w:before="0" w:beforeAutospacing="0" w:after="0" w:afterAutospacing="0"/>
        <w:jc w:val="both"/>
        <w:rPr>
          <w:rFonts w:ascii="Times Roman" w:hAnsi="Times Roman"/>
          <w:sz w:val="22"/>
          <w:szCs w:val="22"/>
        </w:rPr>
      </w:pPr>
    </w:p>
    <w:p w14:paraId="6B1E16C5" w14:textId="77777777" w:rsidR="00B55309" w:rsidRPr="000634A4" w:rsidRDefault="00B55309" w:rsidP="00ED65FB">
      <w:pPr>
        <w:pStyle w:val="NormalWeb"/>
        <w:spacing w:before="0" w:beforeAutospacing="0" w:after="0" w:afterAutospacing="0"/>
        <w:jc w:val="both"/>
        <w:rPr>
          <w:rFonts w:ascii="Times Roman" w:hAnsi="Times Roman"/>
          <w:sz w:val="22"/>
          <w:szCs w:val="22"/>
        </w:rPr>
      </w:pPr>
    </w:p>
    <w:p w14:paraId="3C6DC817" w14:textId="77777777" w:rsidR="00337676" w:rsidRPr="000634A4" w:rsidRDefault="00337676" w:rsidP="00337676">
      <w:pPr>
        <w:tabs>
          <w:tab w:val="left" w:pos="-720"/>
        </w:tabs>
        <w:outlineLvl w:val="0"/>
        <w:rPr>
          <w:b/>
          <w:sz w:val="22"/>
          <w:szCs w:val="22"/>
        </w:rPr>
      </w:pPr>
      <w:r w:rsidRPr="000634A4">
        <w:rPr>
          <w:b/>
          <w:sz w:val="22"/>
          <w:szCs w:val="22"/>
        </w:rPr>
        <w:lastRenderedPageBreak/>
        <w:tab/>
      </w:r>
      <w:r w:rsidRPr="000634A4">
        <w:rPr>
          <w:b/>
          <w:sz w:val="22"/>
          <w:szCs w:val="22"/>
        </w:rPr>
        <w:tab/>
      </w:r>
      <w:r w:rsidRPr="000634A4">
        <w:rPr>
          <w:b/>
          <w:sz w:val="22"/>
          <w:szCs w:val="22"/>
        </w:rPr>
        <w:tab/>
      </w:r>
      <w:r w:rsidRPr="000634A4">
        <w:rPr>
          <w:b/>
          <w:sz w:val="22"/>
          <w:szCs w:val="22"/>
        </w:rPr>
        <w:tab/>
      </w:r>
      <w:r w:rsidRPr="000634A4">
        <w:rPr>
          <w:b/>
          <w:sz w:val="22"/>
          <w:szCs w:val="22"/>
        </w:rPr>
        <w:tab/>
      </w:r>
      <w:r w:rsidRPr="000634A4">
        <w:rPr>
          <w:b/>
          <w:sz w:val="22"/>
          <w:szCs w:val="22"/>
        </w:rPr>
        <w:tab/>
      </w:r>
      <w:r w:rsidRPr="000634A4">
        <w:rPr>
          <w:b/>
          <w:sz w:val="22"/>
          <w:szCs w:val="22"/>
        </w:rPr>
        <w:tab/>
      </w:r>
      <w:r w:rsidRPr="000634A4">
        <w:rPr>
          <w:b/>
          <w:sz w:val="22"/>
          <w:szCs w:val="22"/>
        </w:rPr>
        <w:tab/>
      </w:r>
      <w:r w:rsidRPr="000634A4">
        <w:rPr>
          <w:b/>
          <w:sz w:val="22"/>
          <w:szCs w:val="22"/>
        </w:rPr>
        <w:tab/>
        <w:t xml:space="preserve">                   Exhibit 21</w:t>
      </w:r>
    </w:p>
    <w:p w14:paraId="5AA1DD6A" w14:textId="77777777" w:rsidR="00337676" w:rsidRPr="000634A4" w:rsidRDefault="00337676" w:rsidP="00337676">
      <w:pPr>
        <w:tabs>
          <w:tab w:val="left" w:pos="-720"/>
        </w:tabs>
        <w:jc w:val="center"/>
        <w:rPr>
          <w:b/>
          <w:sz w:val="22"/>
          <w:szCs w:val="22"/>
        </w:rPr>
      </w:pPr>
    </w:p>
    <w:p w14:paraId="0EB81B28" w14:textId="77777777" w:rsidR="00337676" w:rsidRPr="000634A4" w:rsidRDefault="00337676" w:rsidP="0014314E">
      <w:pPr>
        <w:tabs>
          <w:tab w:val="left" w:pos="-720"/>
        </w:tabs>
        <w:jc w:val="center"/>
        <w:outlineLvl w:val="0"/>
        <w:rPr>
          <w:b/>
          <w:sz w:val="22"/>
          <w:szCs w:val="22"/>
        </w:rPr>
      </w:pPr>
      <w:r w:rsidRPr="000634A4">
        <w:rPr>
          <w:b/>
          <w:sz w:val="22"/>
          <w:szCs w:val="22"/>
        </w:rPr>
        <w:t>Significant Subsidiaries</w:t>
      </w:r>
    </w:p>
    <w:p w14:paraId="47F6735F" w14:textId="77777777" w:rsidR="00337676" w:rsidRPr="000634A4" w:rsidRDefault="00337676" w:rsidP="00337676">
      <w:pPr>
        <w:tabs>
          <w:tab w:val="left" w:pos="-720"/>
        </w:tabs>
        <w:jc w:val="center"/>
        <w:rPr>
          <w:b/>
          <w:sz w:val="22"/>
          <w:szCs w:val="22"/>
        </w:rPr>
      </w:pPr>
    </w:p>
    <w:tbl>
      <w:tblPr>
        <w:tblW w:w="0" w:type="auto"/>
        <w:jc w:val="center"/>
        <w:tblLayout w:type="fixed"/>
        <w:tblLook w:val="0000" w:firstRow="0" w:lastRow="0" w:firstColumn="0" w:lastColumn="0" w:noHBand="0" w:noVBand="0"/>
      </w:tblPr>
      <w:tblGrid>
        <w:gridCol w:w="5125"/>
        <w:gridCol w:w="1787"/>
        <w:gridCol w:w="2016"/>
      </w:tblGrid>
      <w:tr w:rsidR="009E3590" w:rsidRPr="000634A4" w14:paraId="2962522D" w14:textId="77777777" w:rsidTr="00444CDD">
        <w:trPr>
          <w:jc w:val="center"/>
        </w:trPr>
        <w:tc>
          <w:tcPr>
            <w:tcW w:w="5125" w:type="dxa"/>
          </w:tcPr>
          <w:p w14:paraId="54B4D2EF" w14:textId="77777777" w:rsidR="00CF5787" w:rsidRPr="000634A4" w:rsidRDefault="00CF5787" w:rsidP="00C504E8">
            <w:pPr>
              <w:jc w:val="center"/>
              <w:rPr>
                <w:b/>
                <w:bCs/>
                <w:sz w:val="22"/>
                <w:szCs w:val="22"/>
              </w:rPr>
            </w:pPr>
          </w:p>
        </w:tc>
        <w:tc>
          <w:tcPr>
            <w:tcW w:w="1787" w:type="dxa"/>
          </w:tcPr>
          <w:p w14:paraId="380D0958" w14:textId="77777777" w:rsidR="00CF5787" w:rsidRPr="000634A4" w:rsidRDefault="00CF5787" w:rsidP="00C504E8">
            <w:pPr>
              <w:jc w:val="center"/>
              <w:rPr>
                <w:b/>
                <w:bCs/>
                <w:sz w:val="22"/>
                <w:szCs w:val="22"/>
              </w:rPr>
            </w:pPr>
          </w:p>
        </w:tc>
        <w:tc>
          <w:tcPr>
            <w:tcW w:w="2016" w:type="dxa"/>
          </w:tcPr>
          <w:p w14:paraId="672C4BBC" w14:textId="77777777" w:rsidR="00CF5787" w:rsidRPr="000634A4" w:rsidRDefault="00CF5787" w:rsidP="00C504E8">
            <w:pPr>
              <w:jc w:val="center"/>
              <w:rPr>
                <w:b/>
                <w:bCs/>
                <w:sz w:val="22"/>
                <w:szCs w:val="22"/>
              </w:rPr>
            </w:pPr>
            <w:r w:rsidRPr="000634A4">
              <w:rPr>
                <w:b/>
                <w:bCs/>
                <w:sz w:val="22"/>
                <w:szCs w:val="22"/>
              </w:rPr>
              <w:t>Name under</w:t>
            </w:r>
          </w:p>
        </w:tc>
      </w:tr>
      <w:tr w:rsidR="009E3590" w:rsidRPr="000634A4" w14:paraId="72923779" w14:textId="77777777" w:rsidTr="00444CDD">
        <w:trPr>
          <w:jc w:val="center"/>
        </w:trPr>
        <w:tc>
          <w:tcPr>
            <w:tcW w:w="5125" w:type="dxa"/>
          </w:tcPr>
          <w:p w14:paraId="3BF74AE2" w14:textId="77777777" w:rsidR="00CF5787" w:rsidRPr="000634A4" w:rsidRDefault="00CF5787" w:rsidP="00C504E8">
            <w:pPr>
              <w:jc w:val="center"/>
              <w:rPr>
                <w:b/>
                <w:bCs/>
                <w:sz w:val="22"/>
                <w:szCs w:val="22"/>
              </w:rPr>
            </w:pPr>
          </w:p>
        </w:tc>
        <w:tc>
          <w:tcPr>
            <w:tcW w:w="1787" w:type="dxa"/>
          </w:tcPr>
          <w:p w14:paraId="1900A555" w14:textId="77777777" w:rsidR="00CF5787" w:rsidRPr="000634A4" w:rsidRDefault="00CF5787" w:rsidP="00C504E8">
            <w:pPr>
              <w:jc w:val="center"/>
              <w:rPr>
                <w:b/>
                <w:bCs/>
                <w:sz w:val="22"/>
                <w:szCs w:val="22"/>
              </w:rPr>
            </w:pPr>
            <w:r w:rsidRPr="000634A4">
              <w:rPr>
                <w:b/>
                <w:bCs/>
                <w:sz w:val="22"/>
                <w:szCs w:val="22"/>
              </w:rPr>
              <w:t>State or other</w:t>
            </w:r>
          </w:p>
        </w:tc>
        <w:tc>
          <w:tcPr>
            <w:tcW w:w="2016" w:type="dxa"/>
          </w:tcPr>
          <w:p w14:paraId="48D37091" w14:textId="77777777" w:rsidR="00CF5787" w:rsidRPr="000634A4" w:rsidRDefault="00CF5787" w:rsidP="00C504E8">
            <w:pPr>
              <w:jc w:val="center"/>
              <w:rPr>
                <w:b/>
                <w:bCs/>
                <w:sz w:val="22"/>
                <w:szCs w:val="22"/>
              </w:rPr>
            </w:pPr>
            <w:r w:rsidRPr="000634A4">
              <w:rPr>
                <w:b/>
                <w:bCs/>
                <w:sz w:val="22"/>
                <w:szCs w:val="22"/>
              </w:rPr>
              <w:t>which subsidiary</w:t>
            </w:r>
          </w:p>
        </w:tc>
      </w:tr>
      <w:tr w:rsidR="009E3590" w:rsidRPr="000634A4" w14:paraId="347FD821" w14:textId="77777777" w:rsidTr="00444CDD">
        <w:trPr>
          <w:jc w:val="center"/>
        </w:trPr>
        <w:tc>
          <w:tcPr>
            <w:tcW w:w="5125" w:type="dxa"/>
          </w:tcPr>
          <w:p w14:paraId="6E672420" w14:textId="77777777" w:rsidR="00CF5787" w:rsidRPr="000634A4" w:rsidRDefault="00CF5787" w:rsidP="00C504E8">
            <w:pPr>
              <w:jc w:val="center"/>
              <w:rPr>
                <w:b/>
                <w:bCs/>
                <w:sz w:val="22"/>
                <w:szCs w:val="22"/>
              </w:rPr>
            </w:pPr>
          </w:p>
        </w:tc>
        <w:tc>
          <w:tcPr>
            <w:tcW w:w="1787" w:type="dxa"/>
          </w:tcPr>
          <w:p w14:paraId="05E1D38B" w14:textId="77777777" w:rsidR="00CF5787" w:rsidRPr="000634A4" w:rsidRDefault="00CF5787" w:rsidP="00C504E8">
            <w:pPr>
              <w:jc w:val="center"/>
              <w:rPr>
                <w:b/>
                <w:bCs/>
                <w:sz w:val="22"/>
                <w:szCs w:val="22"/>
              </w:rPr>
            </w:pPr>
            <w:r w:rsidRPr="000634A4">
              <w:rPr>
                <w:b/>
                <w:bCs/>
                <w:sz w:val="22"/>
                <w:szCs w:val="22"/>
              </w:rPr>
              <w:t>jurisdiction of</w:t>
            </w:r>
          </w:p>
        </w:tc>
        <w:tc>
          <w:tcPr>
            <w:tcW w:w="2016" w:type="dxa"/>
          </w:tcPr>
          <w:p w14:paraId="437D2EF9" w14:textId="77777777" w:rsidR="00CF5787" w:rsidRPr="000634A4" w:rsidRDefault="00CF5787" w:rsidP="00C504E8">
            <w:pPr>
              <w:jc w:val="center"/>
              <w:rPr>
                <w:b/>
                <w:bCs/>
                <w:sz w:val="22"/>
                <w:szCs w:val="22"/>
              </w:rPr>
            </w:pPr>
            <w:r w:rsidRPr="000634A4">
              <w:rPr>
                <w:b/>
                <w:bCs/>
                <w:sz w:val="22"/>
                <w:szCs w:val="22"/>
              </w:rPr>
              <w:t>conducts</w:t>
            </w:r>
          </w:p>
        </w:tc>
      </w:tr>
      <w:tr w:rsidR="009E3590" w:rsidRPr="000634A4" w14:paraId="6CFD4D86" w14:textId="77777777" w:rsidTr="00444CDD">
        <w:trPr>
          <w:jc w:val="center"/>
        </w:trPr>
        <w:tc>
          <w:tcPr>
            <w:tcW w:w="5125" w:type="dxa"/>
          </w:tcPr>
          <w:p w14:paraId="27934361" w14:textId="77777777" w:rsidR="00CF5787" w:rsidRPr="000634A4" w:rsidRDefault="00CF5787" w:rsidP="00444CDD">
            <w:pPr>
              <w:rPr>
                <w:b/>
                <w:bCs/>
                <w:sz w:val="22"/>
                <w:szCs w:val="22"/>
              </w:rPr>
            </w:pPr>
            <w:r w:rsidRPr="000634A4">
              <w:rPr>
                <w:b/>
                <w:bCs/>
                <w:sz w:val="22"/>
                <w:szCs w:val="22"/>
              </w:rPr>
              <w:t>Name of Subsidiary</w:t>
            </w:r>
          </w:p>
        </w:tc>
        <w:tc>
          <w:tcPr>
            <w:tcW w:w="1787" w:type="dxa"/>
          </w:tcPr>
          <w:p w14:paraId="578CAE76" w14:textId="77777777" w:rsidR="00CF5787" w:rsidRPr="000634A4" w:rsidRDefault="00CF5787" w:rsidP="00C504E8">
            <w:pPr>
              <w:jc w:val="center"/>
              <w:rPr>
                <w:b/>
                <w:bCs/>
                <w:sz w:val="22"/>
                <w:szCs w:val="22"/>
              </w:rPr>
            </w:pPr>
            <w:r w:rsidRPr="000634A4">
              <w:rPr>
                <w:b/>
                <w:bCs/>
                <w:sz w:val="22"/>
                <w:szCs w:val="22"/>
              </w:rPr>
              <w:t>incorporation</w:t>
            </w:r>
          </w:p>
        </w:tc>
        <w:tc>
          <w:tcPr>
            <w:tcW w:w="2016" w:type="dxa"/>
          </w:tcPr>
          <w:p w14:paraId="4B0DD6FC" w14:textId="77777777" w:rsidR="00CF5787" w:rsidRPr="000634A4" w:rsidRDefault="00CF5787" w:rsidP="00C504E8">
            <w:pPr>
              <w:jc w:val="center"/>
              <w:rPr>
                <w:b/>
                <w:bCs/>
                <w:sz w:val="22"/>
                <w:szCs w:val="22"/>
              </w:rPr>
            </w:pPr>
            <w:r w:rsidRPr="000634A4">
              <w:rPr>
                <w:b/>
                <w:bCs/>
                <w:sz w:val="22"/>
                <w:szCs w:val="22"/>
              </w:rPr>
              <w:t>business</w:t>
            </w:r>
          </w:p>
        </w:tc>
      </w:tr>
      <w:tr w:rsidR="009E3590" w:rsidRPr="000634A4" w14:paraId="14DB8627" w14:textId="77777777" w:rsidTr="00444CDD">
        <w:trPr>
          <w:jc w:val="center"/>
        </w:trPr>
        <w:tc>
          <w:tcPr>
            <w:tcW w:w="5125" w:type="dxa"/>
          </w:tcPr>
          <w:p w14:paraId="64AB94BD" w14:textId="77777777" w:rsidR="00C94F60" w:rsidRPr="000634A4" w:rsidRDefault="00C94F60" w:rsidP="00ED71F3">
            <w:pPr>
              <w:rPr>
                <w:sz w:val="22"/>
                <w:szCs w:val="22"/>
              </w:rPr>
            </w:pPr>
          </w:p>
          <w:p w14:paraId="4C93EE90" w14:textId="644C782F" w:rsidR="00CF5787" w:rsidRPr="000634A4" w:rsidRDefault="00CF5787" w:rsidP="00ED71F3">
            <w:pPr>
              <w:rPr>
                <w:sz w:val="22"/>
                <w:szCs w:val="22"/>
              </w:rPr>
            </w:pPr>
            <w:r w:rsidRPr="000634A4">
              <w:rPr>
                <w:sz w:val="22"/>
                <w:szCs w:val="22"/>
              </w:rPr>
              <w:t>Innodata India Private Limited</w:t>
            </w:r>
          </w:p>
        </w:tc>
        <w:tc>
          <w:tcPr>
            <w:tcW w:w="1787" w:type="dxa"/>
          </w:tcPr>
          <w:p w14:paraId="3BBFEBD5" w14:textId="77777777" w:rsidR="00C94F60" w:rsidRPr="000634A4" w:rsidRDefault="00C94F60" w:rsidP="00C504E8">
            <w:pPr>
              <w:jc w:val="center"/>
              <w:rPr>
                <w:sz w:val="22"/>
                <w:szCs w:val="22"/>
              </w:rPr>
            </w:pPr>
          </w:p>
          <w:p w14:paraId="6233DEE8" w14:textId="2576058E" w:rsidR="00CF5787" w:rsidRPr="000634A4" w:rsidRDefault="00CF5787" w:rsidP="00C504E8">
            <w:pPr>
              <w:jc w:val="center"/>
              <w:rPr>
                <w:sz w:val="22"/>
                <w:szCs w:val="22"/>
              </w:rPr>
            </w:pPr>
            <w:r w:rsidRPr="000634A4">
              <w:rPr>
                <w:sz w:val="22"/>
                <w:szCs w:val="22"/>
              </w:rPr>
              <w:t>India</w:t>
            </w:r>
          </w:p>
        </w:tc>
        <w:tc>
          <w:tcPr>
            <w:tcW w:w="2016" w:type="dxa"/>
          </w:tcPr>
          <w:p w14:paraId="0DA2F715" w14:textId="77777777" w:rsidR="00C94F60" w:rsidRPr="000634A4" w:rsidRDefault="00C94F60" w:rsidP="00C504E8">
            <w:pPr>
              <w:jc w:val="center"/>
              <w:rPr>
                <w:sz w:val="22"/>
                <w:szCs w:val="22"/>
              </w:rPr>
            </w:pPr>
          </w:p>
          <w:p w14:paraId="7AFB46E4" w14:textId="4CC71CA6" w:rsidR="00CF5787" w:rsidRPr="000634A4" w:rsidRDefault="00CF5787" w:rsidP="00C504E8">
            <w:pPr>
              <w:jc w:val="center"/>
              <w:rPr>
                <w:sz w:val="22"/>
                <w:szCs w:val="22"/>
              </w:rPr>
            </w:pPr>
            <w:r w:rsidRPr="000634A4">
              <w:rPr>
                <w:sz w:val="22"/>
                <w:szCs w:val="22"/>
              </w:rPr>
              <w:t>Same</w:t>
            </w:r>
          </w:p>
        </w:tc>
      </w:tr>
      <w:tr w:rsidR="009E3590" w:rsidRPr="000634A4" w14:paraId="6426C571" w14:textId="77777777" w:rsidTr="00444CDD">
        <w:trPr>
          <w:jc w:val="center"/>
        </w:trPr>
        <w:tc>
          <w:tcPr>
            <w:tcW w:w="5125" w:type="dxa"/>
          </w:tcPr>
          <w:p w14:paraId="44B63A3E" w14:textId="77777777" w:rsidR="00CF5787" w:rsidRPr="000634A4" w:rsidRDefault="00CF5787" w:rsidP="00ED71F3">
            <w:pPr>
              <w:rPr>
                <w:sz w:val="22"/>
                <w:szCs w:val="22"/>
              </w:rPr>
            </w:pPr>
            <w:r w:rsidRPr="000634A4">
              <w:rPr>
                <w:sz w:val="22"/>
                <w:szCs w:val="22"/>
              </w:rPr>
              <w:t xml:space="preserve">Innodata Knowledge Services, Inc. </w:t>
            </w:r>
          </w:p>
        </w:tc>
        <w:tc>
          <w:tcPr>
            <w:tcW w:w="1787" w:type="dxa"/>
          </w:tcPr>
          <w:p w14:paraId="1DE53F95" w14:textId="77777777" w:rsidR="00CF5787" w:rsidRPr="000634A4" w:rsidRDefault="00CF5787" w:rsidP="00C504E8">
            <w:pPr>
              <w:jc w:val="center"/>
              <w:rPr>
                <w:sz w:val="22"/>
                <w:szCs w:val="22"/>
              </w:rPr>
            </w:pPr>
            <w:r w:rsidRPr="000634A4">
              <w:rPr>
                <w:sz w:val="22"/>
                <w:szCs w:val="22"/>
              </w:rPr>
              <w:t>Philippines</w:t>
            </w:r>
          </w:p>
        </w:tc>
        <w:tc>
          <w:tcPr>
            <w:tcW w:w="2016" w:type="dxa"/>
          </w:tcPr>
          <w:p w14:paraId="7EC4EF8C" w14:textId="77777777" w:rsidR="00CF5787" w:rsidRPr="000634A4" w:rsidRDefault="00CF5787" w:rsidP="00C504E8">
            <w:pPr>
              <w:jc w:val="center"/>
              <w:rPr>
                <w:sz w:val="22"/>
                <w:szCs w:val="22"/>
              </w:rPr>
            </w:pPr>
            <w:r w:rsidRPr="000634A4">
              <w:rPr>
                <w:sz w:val="22"/>
                <w:szCs w:val="22"/>
              </w:rPr>
              <w:t>Same</w:t>
            </w:r>
          </w:p>
        </w:tc>
      </w:tr>
      <w:tr w:rsidR="009E3590" w:rsidRPr="000634A4" w14:paraId="393D53C2" w14:textId="77777777" w:rsidTr="00444CDD">
        <w:trPr>
          <w:jc w:val="center"/>
        </w:trPr>
        <w:tc>
          <w:tcPr>
            <w:tcW w:w="5125" w:type="dxa"/>
          </w:tcPr>
          <w:p w14:paraId="0C917B18" w14:textId="77777777" w:rsidR="00CF5787" w:rsidRDefault="00CF5787" w:rsidP="00ED71F3">
            <w:pPr>
              <w:rPr>
                <w:sz w:val="22"/>
                <w:szCs w:val="22"/>
              </w:rPr>
            </w:pPr>
            <w:r w:rsidRPr="00AA7FA3">
              <w:rPr>
                <w:sz w:val="22"/>
                <w:szCs w:val="22"/>
              </w:rPr>
              <w:t xml:space="preserve">Agility PR Solutions Canada Ltd. </w:t>
            </w:r>
          </w:p>
          <w:p w14:paraId="4F721042" w14:textId="77777777" w:rsidR="00A417F0" w:rsidRPr="000A6B35" w:rsidRDefault="00A417F0" w:rsidP="000A6B35">
            <w:r w:rsidRPr="000A6B35">
              <w:rPr>
                <w:sz w:val="22"/>
                <w:szCs w:val="22"/>
              </w:rPr>
              <w:t>ESS Manufacturing Co. Inc.</w:t>
            </w:r>
          </w:p>
          <w:p w14:paraId="65E687BF" w14:textId="2A8DD2C9" w:rsidR="00A417F0" w:rsidRPr="000A6B35" w:rsidRDefault="00A417F0" w:rsidP="000A6B35">
            <w:r w:rsidRPr="000A6B35">
              <w:rPr>
                <w:sz w:val="22"/>
                <w:szCs w:val="22"/>
              </w:rPr>
              <w:t xml:space="preserve">Innodata Book Distribution </w:t>
            </w:r>
            <w:r w:rsidR="00CD38A9">
              <w:rPr>
                <w:sz w:val="22"/>
                <w:szCs w:val="22"/>
              </w:rPr>
              <w:t xml:space="preserve">Services </w:t>
            </w:r>
            <w:r w:rsidRPr="000A6B35">
              <w:rPr>
                <w:sz w:val="22"/>
                <w:szCs w:val="22"/>
              </w:rPr>
              <w:t>Ltd</w:t>
            </w:r>
            <w:r w:rsidR="002F0C0B">
              <w:rPr>
                <w:sz w:val="22"/>
                <w:szCs w:val="22"/>
              </w:rPr>
              <w:t>.</w:t>
            </w:r>
          </w:p>
          <w:p w14:paraId="406451EA" w14:textId="0045B084" w:rsidR="00713F31" w:rsidRPr="00AA7FA3" w:rsidRDefault="00713F31" w:rsidP="000A6B35">
            <w:pPr>
              <w:jc w:val="both"/>
              <w:rPr>
                <w:sz w:val="22"/>
                <w:szCs w:val="22"/>
              </w:rPr>
            </w:pPr>
          </w:p>
        </w:tc>
        <w:tc>
          <w:tcPr>
            <w:tcW w:w="1787" w:type="dxa"/>
          </w:tcPr>
          <w:p w14:paraId="3E54AD8A" w14:textId="77777777" w:rsidR="00CF5787" w:rsidRDefault="00CF5787" w:rsidP="00C504E8">
            <w:pPr>
              <w:jc w:val="center"/>
              <w:rPr>
                <w:sz w:val="22"/>
                <w:szCs w:val="22"/>
              </w:rPr>
            </w:pPr>
            <w:r w:rsidRPr="00AA7FA3">
              <w:rPr>
                <w:sz w:val="22"/>
                <w:szCs w:val="22"/>
              </w:rPr>
              <w:t>Canada</w:t>
            </w:r>
          </w:p>
          <w:p w14:paraId="27BB9100" w14:textId="77777777" w:rsidR="00A417F0" w:rsidRDefault="00A417F0" w:rsidP="00C504E8">
            <w:pPr>
              <w:jc w:val="center"/>
              <w:rPr>
                <w:sz w:val="22"/>
                <w:szCs w:val="22"/>
              </w:rPr>
            </w:pPr>
            <w:r>
              <w:rPr>
                <w:sz w:val="22"/>
                <w:szCs w:val="22"/>
              </w:rPr>
              <w:t>Philippines</w:t>
            </w:r>
          </w:p>
          <w:p w14:paraId="63A742F1" w14:textId="277C51D7" w:rsidR="00A417F0" w:rsidRPr="00AA7FA3" w:rsidRDefault="00A417F0" w:rsidP="00C504E8">
            <w:pPr>
              <w:jc w:val="center"/>
              <w:rPr>
                <w:sz w:val="22"/>
                <w:szCs w:val="22"/>
              </w:rPr>
            </w:pPr>
            <w:r>
              <w:rPr>
                <w:sz w:val="22"/>
                <w:szCs w:val="22"/>
              </w:rPr>
              <w:t>Hong Kong</w:t>
            </w:r>
          </w:p>
        </w:tc>
        <w:tc>
          <w:tcPr>
            <w:tcW w:w="2016" w:type="dxa"/>
          </w:tcPr>
          <w:p w14:paraId="169CC823" w14:textId="77777777" w:rsidR="00CF5787" w:rsidRDefault="00CF5787" w:rsidP="00C504E8">
            <w:pPr>
              <w:jc w:val="center"/>
              <w:rPr>
                <w:sz w:val="22"/>
                <w:szCs w:val="22"/>
              </w:rPr>
            </w:pPr>
            <w:r w:rsidRPr="00AA7FA3">
              <w:rPr>
                <w:sz w:val="22"/>
                <w:szCs w:val="22"/>
              </w:rPr>
              <w:t>Same</w:t>
            </w:r>
          </w:p>
          <w:p w14:paraId="713E5B1B" w14:textId="77777777" w:rsidR="00A417F0" w:rsidRDefault="00A417F0" w:rsidP="00C504E8">
            <w:pPr>
              <w:jc w:val="center"/>
              <w:rPr>
                <w:sz w:val="22"/>
                <w:szCs w:val="22"/>
              </w:rPr>
            </w:pPr>
            <w:r>
              <w:rPr>
                <w:sz w:val="22"/>
                <w:szCs w:val="22"/>
              </w:rPr>
              <w:t>Same</w:t>
            </w:r>
          </w:p>
          <w:p w14:paraId="22BFF597" w14:textId="0224B2E4" w:rsidR="00A417F0" w:rsidRPr="00AA7FA3" w:rsidRDefault="00A417F0" w:rsidP="00C504E8">
            <w:pPr>
              <w:jc w:val="center"/>
              <w:rPr>
                <w:sz w:val="22"/>
                <w:szCs w:val="22"/>
              </w:rPr>
            </w:pPr>
            <w:r>
              <w:rPr>
                <w:sz w:val="22"/>
                <w:szCs w:val="22"/>
              </w:rPr>
              <w:t>Same</w:t>
            </w:r>
          </w:p>
        </w:tc>
      </w:tr>
    </w:tbl>
    <w:p w14:paraId="56A09DE8" w14:textId="77777777" w:rsidR="00337676" w:rsidRPr="000634A4" w:rsidRDefault="00337676">
      <w:pPr>
        <w:rPr>
          <w:sz w:val="22"/>
          <w:szCs w:val="22"/>
        </w:rPr>
      </w:pPr>
    </w:p>
    <w:p w14:paraId="6AD6BA00" w14:textId="77777777" w:rsidR="00337676" w:rsidRPr="000634A4" w:rsidRDefault="00337676">
      <w:pPr>
        <w:rPr>
          <w:sz w:val="22"/>
          <w:szCs w:val="22"/>
        </w:rPr>
      </w:pPr>
    </w:p>
    <w:p w14:paraId="5A3CCE44" w14:textId="77777777" w:rsidR="00220137" w:rsidRPr="000634A4" w:rsidRDefault="00220137" w:rsidP="00220137">
      <w:pPr>
        <w:tabs>
          <w:tab w:val="left" w:pos="8250"/>
        </w:tabs>
        <w:rPr>
          <w:sz w:val="22"/>
          <w:szCs w:val="22"/>
        </w:rPr>
      </w:pPr>
    </w:p>
    <w:p w14:paraId="68B811E0" w14:textId="77777777" w:rsidR="00220137" w:rsidRPr="000634A4" w:rsidRDefault="00220137" w:rsidP="00220137">
      <w:pPr>
        <w:tabs>
          <w:tab w:val="left" w:pos="8250"/>
        </w:tabs>
        <w:rPr>
          <w:sz w:val="22"/>
          <w:szCs w:val="22"/>
        </w:rPr>
      </w:pPr>
    </w:p>
    <w:p w14:paraId="06F5404C" w14:textId="77777777" w:rsidR="00220137" w:rsidRPr="000634A4" w:rsidRDefault="00220137" w:rsidP="00220137">
      <w:pPr>
        <w:tabs>
          <w:tab w:val="left" w:pos="8250"/>
        </w:tabs>
        <w:rPr>
          <w:sz w:val="22"/>
          <w:szCs w:val="22"/>
        </w:rPr>
      </w:pPr>
    </w:p>
    <w:p w14:paraId="2BBD7262" w14:textId="77777777" w:rsidR="00220137" w:rsidRPr="000634A4" w:rsidRDefault="00220137" w:rsidP="00220137">
      <w:pPr>
        <w:tabs>
          <w:tab w:val="left" w:pos="8250"/>
        </w:tabs>
        <w:rPr>
          <w:sz w:val="22"/>
          <w:szCs w:val="22"/>
        </w:rPr>
      </w:pPr>
    </w:p>
    <w:p w14:paraId="6E644CAF" w14:textId="77777777" w:rsidR="00220137" w:rsidRPr="000634A4" w:rsidRDefault="00220137" w:rsidP="00220137">
      <w:pPr>
        <w:tabs>
          <w:tab w:val="left" w:pos="8250"/>
        </w:tabs>
        <w:rPr>
          <w:sz w:val="22"/>
          <w:szCs w:val="22"/>
        </w:rPr>
      </w:pPr>
    </w:p>
    <w:p w14:paraId="28F05920" w14:textId="77777777" w:rsidR="00220137" w:rsidRPr="000634A4" w:rsidRDefault="00220137" w:rsidP="00220137">
      <w:pPr>
        <w:tabs>
          <w:tab w:val="left" w:pos="8250"/>
        </w:tabs>
        <w:rPr>
          <w:sz w:val="22"/>
          <w:szCs w:val="22"/>
        </w:rPr>
      </w:pPr>
    </w:p>
    <w:p w14:paraId="101E0923" w14:textId="77777777" w:rsidR="00220137" w:rsidRPr="000634A4" w:rsidRDefault="00220137" w:rsidP="00220137">
      <w:pPr>
        <w:tabs>
          <w:tab w:val="left" w:pos="8250"/>
        </w:tabs>
        <w:rPr>
          <w:sz w:val="22"/>
          <w:szCs w:val="22"/>
        </w:rPr>
      </w:pPr>
    </w:p>
    <w:p w14:paraId="6F106A27" w14:textId="77777777" w:rsidR="00220137" w:rsidRPr="000634A4" w:rsidRDefault="00220137" w:rsidP="00220137">
      <w:pPr>
        <w:tabs>
          <w:tab w:val="left" w:pos="8250"/>
        </w:tabs>
        <w:rPr>
          <w:sz w:val="22"/>
          <w:szCs w:val="22"/>
        </w:rPr>
      </w:pPr>
    </w:p>
    <w:p w14:paraId="539CBBE3" w14:textId="77777777" w:rsidR="00220137" w:rsidRPr="000634A4" w:rsidRDefault="00220137" w:rsidP="00220137">
      <w:pPr>
        <w:tabs>
          <w:tab w:val="left" w:pos="8250"/>
        </w:tabs>
        <w:rPr>
          <w:sz w:val="22"/>
          <w:szCs w:val="22"/>
        </w:rPr>
      </w:pPr>
    </w:p>
    <w:p w14:paraId="4AAA8CCF" w14:textId="24C5CED6" w:rsidR="00337676" w:rsidRPr="000634A4" w:rsidRDefault="00071DA6" w:rsidP="00220137">
      <w:pPr>
        <w:tabs>
          <w:tab w:val="left" w:pos="8250"/>
        </w:tabs>
        <w:rPr>
          <w:sz w:val="22"/>
          <w:szCs w:val="22"/>
        </w:rPr>
      </w:pPr>
      <w:r w:rsidRPr="000634A4">
        <w:rPr>
          <w:sz w:val="22"/>
          <w:szCs w:val="22"/>
        </w:rPr>
        <w:tab/>
      </w:r>
    </w:p>
    <w:p w14:paraId="0BE8AFF4" w14:textId="000F2F47" w:rsidR="00337676" w:rsidRPr="000634A4" w:rsidRDefault="00337676">
      <w:pPr>
        <w:rPr>
          <w:sz w:val="22"/>
          <w:szCs w:val="22"/>
        </w:rPr>
      </w:pPr>
    </w:p>
    <w:p w14:paraId="61956E9D" w14:textId="31795E13" w:rsidR="00220137" w:rsidRPr="000634A4" w:rsidRDefault="00220137">
      <w:pPr>
        <w:rPr>
          <w:sz w:val="22"/>
          <w:szCs w:val="22"/>
        </w:rPr>
      </w:pPr>
    </w:p>
    <w:p w14:paraId="181ADDD7" w14:textId="16F749C8" w:rsidR="00220137" w:rsidRPr="000634A4" w:rsidRDefault="00220137">
      <w:pPr>
        <w:rPr>
          <w:sz w:val="22"/>
          <w:szCs w:val="22"/>
        </w:rPr>
      </w:pPr>
    </w:p>
    <w:p w14:paraId="27D62F30" w14:textId="0319ADA0" w:rsidR="00220137" w:rsidRPr="000634A4" w:rsidRDefault="00220137">
      <w:pPr>
        <w:rPr>
          <w:sz w:val="22"/>
          <w:szCs w:val="22"/>
        </w:rPr>
      </w:pPr>
    </w:p>
    <w:p w14:paraId="0B269105" w14:textId="11F9E2EE" w:rsidR="00220137" w:rsidRPr="000634A4" w:rsidRDefault="00220137">
      <w:pPr>
        <w:rPr>
          <w:sz w:val="22"/>
          <w:szCs w:val="22"/>
        </w:rPr>
      </w:pPr>
    </w:p>
    <w:p w14:paraId="3A837C22" w14:textId="6D5037C5" w:rsidR="00220137" w:rsidRPr="000634A4" w:rsidRDefault="00220137">
      <w:pPr>
        <w:rPr>
          <w:sz w:val="22"/>
          <w:szCs w:val="22"/>
        </w:rPr>
      </w:pPr>
    </w:p>
    <w:p w14:paraId="39786B31" w14:textId="26B005FF" w:rsidR="00220137" w:rsidRPr="000634A4" w:rsidRDefault="00220137">
      <w:pPr>
        <w:rPr>
          <w:sz w:val="22"/>
          <w:szCs w:val="22"/>
        </w:rPr>
      </w:pPr>
    </w:p>
    <w:p w14:paraId="49E2DE1B" w14:textId="26C87B0E" w:rsidR="00220137" w:rsidRPr="000634A4" w:rsidRDefault="00220137">
      <w:pPr>
        <w:rPr>
          <w:sz w:val="22"/>
          <w:szCs w:val="22"/>
        </w:rPr>
      </w:pPr>
    </w:p>
    <w:p w14:paraId="74259CC1" w14:textId="705AD918" w:rsidR="00220137" w:rsidRPr="000634A4" w:rsidRDefault="00220137">
      <w:pPr>
        <w:rPr>
          <w:sz w:val="22"/>
          <w:szCs w:val="22"/>
        </w:rPr>
      </w:pPr>
    </w:p>
    <w:p w14:paraId="684757D1" w14:textId="2C491BB2" w:rsidR="00220137" w:rsidRPr="000634A4" w:rsidRDefault="00220137">
      <w:pPr>
        <w:rPr>
          <w:sz w:val="22"/>
          <w:szCs w:val="22"/>
        </w:rPr>
      </w:pPr>
    </w:p>
    <w:p w14:paraId="0BB83D74" w14:textId="7BD771C8" w:rsidR="00220137" w:rsidRPr="000634A4" w:rsidRDefault="00220137">
      <w:pPr>
        <w:rPr>
          <w:sz w:val="22"/>
          <w:szCs w:val="22"/>
        </w:rPr>
      </w:pPr>
    </w:p>
    <w:p w14:paraId="1335124D" w14:textId="40F0914C" w:rsidR="00220137" w:rsidRPr="000634A4" w:rsidRDefault="00220137">
      <w:pPr>
        <w:rPr>
          <w:sz w:val="22"/>
          <w:szCs w:val="22"/>
        </w:rPr>
      </w:pPr>
    </w:p>
    <w:p w14:paraId="6802E6DA" w14:textId="07A24622" w:rsidR="00220137" w:rsidRPr="000634A4" w:rsidRDefault="00220137">
      <w:pPr>
        <w:rPr>
          <w:sz w:val="22"/>
          <w:szCs w:val="22"/>
        </w:rPr>
      </w:pPr>
    </w:p>
    <w:p w14:paraId="7769382D" w14:textId="77777777" w:rsidR="00220137" w:rsidRPr="000634A4" w:rsidRDefault="00220137">
      <w:pPr>
        <w:rPr>
          <w:sz w:val="22"/>
          <w:szCs w:val="22"/>
        </w:rPr>
      </w:pPr>
    </w:p>
    <w:p w14:paraId="78B2D371" w14:textId="77777777" w:rsidR="00337676" w:rsidRPr="000634A4" w:rsidRDefault="00337676">
      <w:pPr>
        <w:rPr>
          <w:sz w:val="22"/>
          <w:szCs w:val="22"/>
        </w:rPr>
      </w:pPr>
    </w:p>
    <w:p w14:paraId="7F6691E7" w14:textId="77777777" w:rsidR="00337676" w:rsidRPr="000634A4" w:rsidRDefault="00337676">
      <w:pPr>
        <w:rPr>
          <w:sz w:val="22"/>
          <w:szCs w:val="22"/>
        </w:rPr>
      </w:pPr>
    </w:p>
    <w:p w14:paraId="1CF854DD" w14:textId="77777777" w:rsidR="00337676" w:rsidRPr="000634A4" w:rsidRDefault="00337676">
      <w:pPr>
        <w:rPr>
          <w:sz w:val="22"/>
          <w:szCs w:val="22"/>
        </w:rPr>
      </w:pPr>
    </w:p>
    <w:p w14:paraId="7DDC6531" w14:textId="77777777" w:rsidR="00337676" w:rsidRPr="000634A4" w:rsidRDefault="00337676">
      <w:pPr>
        <w:rPr>
          <w:sz w:val="22"/>
          <w:szCs w:val="22"/>
        </w:rPr>
      </w:pPr>
    </w:p>
    <w:p w14:paraId="0B2310E0" w14:textId="77777777" w:rsidR="00337676" w:rsidRPr="000634A4" w:rsidRDefault="00337676">
      <w:pPr>
        <w:rPr>
          <w:sz w:val="22"/>
          <w:szCs w:val="22"/>
        </w:rPr>
      </w:pPr>
    </w:p>
    <w:p w14:paraId="3D254691" w14:textId="77777777" w:rsidR="00337676" w:rsidRPr="000634A4" w:rsidRDefault="00337676">
      <w:pPr>
        <w:rPr>
          <w:sz w:val="22"/>
          <w:szCs w:val="22"/>
        </w:rPr>
      </w:pPr>
    </w:p>
    <w:p w14:paraId="5A1103DD" w14:textId="77777777" w:rsidR="00337676" w:rsidRPr="000634A4" w:rsidRDefault="00337676">
      <w:pPr>
        <w:rPr>
          <w:sz w:val="22"/>
          <w:szCs w:val="22"/>
        </w:rPr>
      </w:pPr>
    </w:p>
    <w:p w14:paraId="209AF30F" w14:textId="00A44DD4" w:rsidR="00337676" w:rsidRDefault="00337676">
      <w:pPr>
        <w:rPr>
          <w:sz w:val="22"/>
          <w:szCs w:val="22"/>
        </w:rPr>
      </w:pPr>
    </w:p>
    <w:p w14:paraId="3A4A6461" w14:textId="3DE22150" w:rsidR="00D204A8" w:rsidRDefault="00D204A8">
      <w:pPr>
        <w:rPr>
          <w:sz w:val="22"/>
          <w:szCs w:val="22"/>
        </w:rPr>
      </w:pPr>
    </w:p>
    <w:p w14:paraId="2724D062" w14:textId="17F918F9" w:rsidR="00D204A8" w:rsidRDefault="00D204A8">
      <w:pPr>
        <w:rPr>
          <w:sz w:val="22"/>
          <w:szCs w:val="22"/>
        </w:rPr>
      </w:pPr>
    </w:p>
    <w:p w14:paraId="4A3FC047" w14:textId="3620FE36" w:rsidR="00D204A8" w:rsidRDefault="00D204A8">
      <w:pPr>
        <w:rPr>
          <w:sz w:val="22"/>
          <w:szCs w:val="22"/>
        </w:rPr>
      </w:pPr>
    </w:p>
    <w:p w14:paraId="2AC52B52" w14:textId="77777777" w:rsidR="00D204A8" w:rsidRPr="000634A4" w:rsidRDefault="00D204A8">
      <w:pPr>
        <w:rPr>
          <w:sz w:val="22"/>
          <w:szCs w:val="22"/>
        </w:rPr>
      </w:pPr>
    </w:p>
    <w:p w14:paraId="12181EEF" w14:textId="4DCBF3D8" w:rsidR="00F37A46" w:rsidRPr="000634A4" w:rsidRDefault="00F37A46">
      <w:pPr>
        <w:rPr>
          <w:sz w:val="22"/>
          <w:szCs w:val="22"/>
        </w:rPr>
      </w:pPr>
    </w:p>
    <w:p w14:paraId="754AAFDF" w14:textId="2C86982D" w:rsidR="0033151B" w:rsidRPr="000634A4" w:rsidRDefault="0033151B">
      <w:pPr>
        <w:rPr>
          <w:sz w:val="22"/>
          <w:szCs w:val="22"/>
        </w:rPr>
      </w:pPr>
    </w:p>
    <w:p w14:paraId="747A644A" w14:textId="77777777" w:rsidR="00F37A46" w:rsidRPr="000634A4" w:rsidRDefault="00F37A46">
      <w:pPr>
        <w:rPr>
          <w:sz w:val="22"/>
          <w:szCs w:val="22"/>
        </w:rPr>
      </w:pPr>
    </w:p>
    <w:p w14:paraId="736B3C78" w14:textId="49BFE05A" w:rsidR="00FD5849" w:rsidRPr="00C83FFE" w:rsidRDefault="00FD5849" w:rsidP="00FD5849">
      <w:pPr>
        <w:tabs>
          <w:tab w:val="left" w:pos="-720"/>
        </w:tabs>
        <w:jc w:val="center"/>
        <w:outlineLvl w:val="0"/>
        <w:rPr>
          <w:b/>
          <w:sz w:val="22"/>
          <w:szCs w:val="22"/>
        </w:rPr>
      </w:pPr>
      <w:bookmarkStart w:id="81" w:name="_Hlk95225468"/>
      <w:r w:rsidRPr="000634A4">
        <w:rPr>
          <w:sz w:val="22"/>
          <w:szCs w:val="22"/>
        </w:rPr>
        <w:t xml:space="preserve">                                                                                                                  </w:t>
      </w:r>
      <w:r w:rsidRPr="00C83FFE">
        <w:rPr>
          <w:b/>
          <w:sz w:val="22"/>
          <w:szCs w:val="22"/>
        </w:rPr>
        <w:t>Exhibit 23</w:t>
      </w:r>
    </w:p>
    <w:p w14:paraId="73FBC65F" w14:textId="77777777" w:rsidR="00FD5849" w:rsidRPr="00C83FFE" w:rsidRDefault="00FD5849" w:rsidP="00FD5849">
      <w:pPr>
        <w:tabs>
          <w:tab w:val="left" w:pos="-720"/>
        </w:tabs>
        <w:rPr>
          <w:b/>
          <w:sz w:val="22"/>
          <w:szCs w:val="22"/>
        </w:rPr>
      </w:pPr>
    </w:p>
    <w:p w14:paraId="1CF6113E" w14:textId="77777777" w:rsidR="00FD5849" w:rsidRPr="00C83FFE" w:rsidRDefault="00FD5849" w:rsidP="00FD5849">
      <w:pPr>
        <w:tabs>
          <w:tab w:val="left" w:pos="-720"/>
        </w:tabs>
        <w:jc w:val="center"/>
        <w:outlineLvl w:val="0"/>
        <w:rPr>
          <w:b/>
          <w:sz w:val="22"/>
          <w:szCs w:val="22"/>
        </w:rPr>
      </w:pPr>
      <w:r w:rsidRPr="00C83FFE">
        <w:rPr>
          <w:b/>
          <w:sz w:val="22"/>
          <w:szCs w:val="22"/>
        </w:rPr>
        <w:t>CONSENT OF INDEPENDENT REGISTERED PUBLIC ACCOUNTING FIRM</w:t>
      </w:r>
    </w:p>
    <w:p w14:paraId="27002C33" w14:textId="77777777" w:rsidR="00FD5849" w:rsidRPr="00C83FFE" w:rsidRDefault="00FD5849" w:rsidP="00FD5849">
      <w:pPr>
        <w:tabs>
          <w:tab w:val="left" w:pos="-720"/>
        </w:tabs>
        <w:rPr>
          <w:b/>
          <w:sz w:val="22"/>
          <w:szCs w:val="22"/>
        </w:rPr>
      </w:pPr>
    </w:p>
    <w:p w14:paraId="4CAC6E9A" w14:textId="77777777" w:rsidR="00FD5849" w:rsidRPr="00C83FFE" w:rsidRDefault="00FD5849" w:rsidP="00FD5849">
      <w:pPr>
        <w:jc w:val="both"/>
        <w:rPr>
          <w:sz w:val="22"/>
          <w:szCs w:val="22"/>
        </w:rPr>
      </w:pPr>
    </w:p>
    <w:p w14:paraId="312A1B2F" w14:textId="56B05A2F" w:rsidR="00D16A8E" w:rsidRPr="00C83FFE" w:rsidRDefault="00D16A8E" w:rsidP="00D16A8E">
      <w:pPr>
        <w:pStyle w:val="NormalWeb"/>
        <w:spacing w:before="0" w:beforeAutospacing="0" w:after="0" w:afterAutospacing="0"/>
        <w:jc w:val="both"/>
        <w:rPr>
          <w:sz w:val="22"/>
          <w:szCs w:val="22"/>
        </w:rPr>
      </w:pPr>
      <w:bookmarkStart w:id="82" w:name="_Hlk35252815"/>
      <w:r w:rsidRPr="00C83FFE">
        <w:rPr>
          <w:sz w:val="22"/>
          <w:szCs w:val="22"/>
        </w:rPr>
        <w:t>We hereby consent to the incorporation by reference in the registration statements on Form S-8 (File Nos. 333-193051, 333-201659, 333-215130, 333-257129</w:t>
      </w:r>
      <w:r w:rsidR="00935330" w:rsidRPr="00C83FFE">
        <w:rPr>
          <w:sz w:val="22"/>
          <w:szCs w:val="22"/>
        </w:rPr>
        <w:t>, and 333-265608</w:t>
      </w:r>
      <w:r w:rsidRPr="00C83FFE">
        <w:rPr>
          <w:sz w:val="22"/>
          <w:szCs w:val="22"/>
        </w:rPr>
        <w:t xml:space="preserve">) and the registration statements on Form S-3 (File Nos. 333-91649 and 333-51400) of our report, dated </w:t>
      </w:r>
      <w:r w:rsidR="005B3C47" w:rsidRPr="00C83FFE">
        <w:rPr>
          <w:sz w:val="22"/>
          <w:szCs w:val="22"/>
        </w:rPr>
        <w:t>February 23, 2023</w:t>
      </w:r>
      <w:r w:rsidR="0033151B" w:rsidRPr="00C83FFE">
        <w:rPr>
          <w:sz w:val="22"/>
          <w:szCs w:val="22"/>
        </w:rPr>
        <w:t xml:space="preserve"> </w:t>
      </w:r>
      <w:r w:rsidRPr="00C83FFE">
        <w:rPr>
          <w:sz w:val="22"/>
          <w:szCs w:val="22"/>
        </w:rPr>
        <w:t>relating to the consolidated financial statements of Innodata Inc. as of December 31,</w:t>
      </w:r>
      <w:r w:rsidR="00052C62" w:rsidRPr="00C83FFE">
        <w:rPr>
          <w:sz w:val="22"/>
          <w:szCs w:val="22"/>
        </w:rPr>
        <w:t xml:space="preserve"> </w:t>
      </w:r>
      <w:r w:rsidR="00CB1DC8" w:rsidRPr="00C83FFE">
        <w:rPr>
          <w:sz w:val="22"/>
          <w:szCs w:val="22"/>
        </w:rPr>
        <w:t xml:space="preserve">2022 </w:t>
      </w:r>
      <w:r w:rsidR="008B55DF" w:rsidRPr="00C83FFE">
        <w:rPr>
          <w:sz w:val="22"/>
          <w:szCs w:val="22"/>
        </w:rPr>
        <w:t xml:space="preserve">and </w:t>
      </w:r>
      <w:r w:rsidR="00CB1DC8" w:rsidRPr="00C83FFE">
        <w:rPr>
          <w:sz w:val="22"/>
          <w:szCs w:val="22"/>
        </w:rPr>
        <w:t>2021</w:t>
      </w:r>
      <w:r w:rsidR="00123A4E" w:rsidRPr="00C83FFE">
        <w:rPr>
          <w:sz w:val="22"/>
          <w:szCs w:val="22"/>
        </w:rPr>
        <w:t>,</w:t>
      </w:r>
      <w:r w:rsidR="0033151B" w:rsidRPr="00C83FFE">
        <w:rPr>
          <w:sz w:val="22"/>
          <w:szCs w:val="22"/>
        </w:rPr>
        <w:t xml:space="preserve"> </w:t>
      </w:r>
      <w:r w:rsidR="006E33B3" w:rsidRPr="00C83FFE">
        <w:rPr>
          <w:sz w:val="22"/>
          <w:szCs w:val="22"/>
        </w:rPr>
        <w:t>and for the years then ended</w:t>
      </w:r>
      <w:r w:rsidRPr="00C83FFE">
        <w:rPr>
          <w:sz w:val="22"/>
          <w:szCs w:val="22"/>
        </w:rPr>
        <w:t xml:space="preserve">, included in this Annual Report on Form 10-K of Innodata Inc. for the year ended December 31, </w:t>
      </w:r>
      <w:r w:rsidR="0033151B" w:rsidRPr="00C83FFE">
        <w:rPr>
          <w:sz w:val="22"/>
          <w:szCs w:val="22"/>
        </w:rPr>
        <w:t>2</w:t>
      </w:r>
      <w:r w:rsidR="00295E28" w:rsidRPr="00C83FFE">
        <w:rPr>
          <w:sz w:val="22"/>
          <w:szCs w:val="22"/>
        </w:rPr>
        <w:t>022</w:t>
      </w:r>
      <w:r w:rsidRPr="00C83FFE">
        <w:rPr>
          <w:sz w:val="22"/>
          <w:szCs w:val="22"/>
        </w:rPr>
        <w:t>.</w:t>
      </w:r>
    </w:p>
    <w:p w14:paraId="5CCCF091" w14:textId="2DC4E6C0" w:rsidR="00A501F2" w:rsidRPr="00C83FFE" w:rsidRDefault="00A501F2" w:rsidP="00A501F2">
      <w:pPr>
        <w:pStyle w:val="NormalWeb"/>
        <w:spacing w:before="0" w:beforeAutospacing="0" w:after="0" w:afterAutospacing="0"/>
        <w:rPr>
          <w:sz w:val="22"/>
          <w:szCs w:val="22"/>
        </w:rPr>
      </w:pPr>
    </w:p>
    <w:p w14:paraId="3D35CCFB" w14:textId="77777777" w:rsidR="00A501F2" w:rsidRPr="00C83FFE" w:rsidRDefault="00A501F2" w:rsidP="00A501F2">
      <w:pPr>
        <w:pStyle w:val="Indenttwo"/>
        <w:widowControl/>
        <w:spacing w:after="0"/>
        <w:ind w:left="0"/>
        <w:rPr>
          <w:rStyle w:val="NationalText"/>
          <w:rFonts w:ascii="Times New Roman" w:hAnsi="Times New Roman" w:cs="Times New Roman"/>
          <w:color w:val="auto"/>
          <w:sz w:val="22"/>
          <w:szCs w:val="22"/>
        </w:rPr>
      </w:pPr>
      <w:r w:rsidRPr="00C83FFE">
        <w:rPr>
          <w:rStyle w:val="NationalText"/>
          <w:rFonts w:ascii="Times New Roman" w:hAnsi="Times New Roman" w:cs="Times New Roman"/>
          <w:color w:val="auto"/>
          <w:sz w:val="22"/>
          <w:szCs w:val="22"/>
        </w:rPr>
        <w:t>/s/ BDO INDIA LLP</w:t>
      </w:r>
    </w:p>
    <w:p w14:paraId="54059F03" w14:textId="77777777" w:rsidR="00A501F2" w:rsidRPr="00C83FFE" w:rsidRDefault="00A501F2" w:rsidP="00A501F2">
      <w:pPr>
        <w:pStyle w:val="NormalWeb"/>
        <w:spacing w:before="0" w:beforeAutospacing="0" w:after="0" w:afterAutospacing="0"/>
        <w:rPr>
          <w:sz w:val="22"/>
          <w:szCs w:val="22"/>
        </w:rPr>
      </w:pPr>
      <w:r w:rsidRPr="00C83FFE">
        <w:rPr>
          <w:sz w:val="22"/>
          <w:szCs w:val="22"/>
        </w:rPr>
        <w:t>Mumbai, India</w:t>
      </w:r>
    </w:p>
    <w:p w14:paraId="1F808AC0" w14:textId="4924CE5B" w:rsidR="00A501F2" w:rsidRPr="000634A4" w:rsidRDefault="00947549" w:rsidP="00B80EB5">
      <w:pPr>
        <w:jc w:val="both"/>
        <w:rPr>
          <w:sz w:val="22"/>
          <w:szCs w:val="22"/>
        </w:rPr>
      </w:pPr>
      <w:r w:rsidRPr="00C83FFE">
        <w:rPr>
          <w:sz w:val="22"/>
          <w:szCs w:val="22"/>
        </w:rPr>
        <w:t>February 23</w:t>
      </w:r>
      <w:r w:rsidR="003426BB" w:rsidRPr="00C83FFE">
        <w:rPr>
          <w:sz w:val="22"/>
          <w:szCs w:val="22"/>
        </w:rPr>
        <w:t>, 2023</w:t>
      </w:r>
    </w:p>
    <w:bookmarkEnd w:id="81"/>
    <w:bookmarkEnd w:id="82"/>
    <w:p w14:paraId="56DB1F6D" w14:textId="77777777" w:rsidR="00337676" w:rsidRPr="000634A4" w:rsidRDefault="00337676">
      <w:pPr>
        <w:rPr>
          <w:sz w:val="22"/>
          <w:szCs w:val="22"/>
        </w:rPr>
      </w:pPr>
    </w:p>
    <w:p w14:paraId="2F517E20" w14:textId="77777777" w:rsidR="00337676" w:rsidRPr="000634A4" w:rsidRDefault="00337676">
      <w:pPr>
        <w:rPr>
          <w:sz w:val="22"/>
          <w:szCs w:val="22"/>
        </w:rPr>
      </w:pPr>
    </w:p>
    <w:p w14:paraId="6460702F" w14:textId="77777777" w:rsidR="00337676" w:rsidRPr="000634A4" w:rsidRDefault="00337676">
      <w:pPr>
        <w:rPr>
          <w:sz w:val="22"/>
          <w:szCs w:val="22"/>
        </w:rPr>
      </w:pPr>
    </w:p>
    <w:p w14:paraId="62BC9DC1" w14:textId="77777777" w:rsidR="00337676" w:rsidRPr="000634A4" w:rsidRDefault="00337676">
      <w:pPr>
        <w:rPr>
          <w:sz w:val="22"/>
          <w:szCs w:val="22"/>
        </w:rPr>
      </w:pPr>
    </w:p>
    <w:p w14:paraId="78FCD76B" w14:textId="77777777" w:rsidR="00337676" w:rsidRPr="000634A4" w:rsidRDefault="00337676">
      <w:pPr>
        <w:rPr>
          <w:sz w:val="22"/>
          <w:szCs w:val="22"/>
        </w:rPr>
      </w:pPr>
    </w:p>
    <w:p w14:paraId="16E109B4" w14:textId="77777777" w:rsidR="00337676" w:rsidRPr="000634A4" w:rsidRDefault="00337676">
      <w:pPr>
        <w:rPr>
          <w:sz w:val="22"/>
          <w:szCs w:val="22"/>
        </w:rPr>
      </w:pPr>
    </w:p>
    <w:p w14:paraId="523DEC2C" w14:textId="77777777" w:rsidR="00337676" w:rsidRPr="000634A4" w:rsidRDefault="00337676">
      <w:pPr>
        <w:rPr>
          <w:sz w:val="22"/>
          <w:szCs w:val="22"/>
        </w:rPr>
      </w:pPr>
    </w:p>
    <w:p w14:paraId="2C9A2D27" w14:textId="77777777" w:rsidR="00337676" w:rsidRPr="000634A4" w:rsidRDefault="00337676">
      <w:pPr>
        <w:rPr>
          <w:sz w:val="22"/>
          <w:szCs w:val="22"/>
        </w:rPr>
      </w:pPr>
    </w:p>
    <w:p w14:paraId="31C2EA7D" w14:textId="77777777" w:rsidR="00337676" w:rsidRPr="000634A4" w:rsidRDefault="00337676">
      <w:pPr>
        <w:rPr>
          <w:sz w:val="22"/>
          <w:szCs w:val="22"/>
        </w:rPr>
      </w:pPr>
    </w:p>
    <w:p w14:paraId="1DAA9587" w14:textId="77777777" w:rsidR="00593827" w:rsidRPr="000634A4" w:rsidRDefault="00593827">
      <w:pPr>
        <w:rPr>
          <w:sz w:val="22"/>
          <w:szCs w:val="22"/>
        </w:rPr>
      </w:pPr>
    </w:p>
    <w:p w14:paraId="343726E6" w14:textId="77777777" w:rsidR="00593827" w:rsidRPr="000634A4" w:rsidRDefault="00593827">
      <w:pPr>
        <w:rPr>
          <w:sz w:val="22"/>
          <w:szCs w:val="22"/>
        </w:rPr>
      </w:pPr>
    </w:p>
    <w:p w14:paraId="42DC0AA4" w14:textId="77777777" w:rsidR="00337676" w:rsidRPr="000634A4" w:rsidRDefault="00337676">
      <w:pPr>
        <w:rPr>
          <w:sz w:val="22"/>
          <w:szCs w:val="22"/>
        </w:rPr>
      </w:pPr>
    </w:p>
    <w:p w14:paraId="0E90FB31" w14:textId="77777777" w:rsidR="00337676" w:rsidRPr="000634A4" w:rsidRDefault="00337676">
      <w:pPr>
        <w:rPr>
          <w:sz w:val="22"/>
          <w:szCs w:val="22"/>
        </w:rPr>
      </w:pPr>
    </w:p>
    <w:p w14:paraId="6B013075" w14:textId="77777777" w:rsidR="00337676" w:rsidRPr="000634A4" w:rsidRDefault="00337676">
      <w:pPr>
        <w:rPr>
          <w:sz w:val="22"/>
          <w:szCs w:val="22"/>
        </w:rPr>
      </w:pPr>
    </w:p>
    <w:p w14:paraId="27ACF869" w14:textId="77777777" w:rsidR="00337676" w:rsidRPr="000634A4" w:rsidRDefault="00337676">
      <w:pPr>
        <w:rPr>
          <w:sz w:val="22"/>
          <w:szCs w:val="22"/>
        </w:rPr>
      </w:pPr>
    </w:p>
    <w:p w14:paraId="31C28A05" w14:textId="77777777" w:rsidR="00337676" w:rsidRPr="000634A4" w:rsidRDefault="00337676">
      <w:pPr>
        <w:rPr>
          <w:sz w:val="22"/>
          <w:szCs w:val="22"/>
        </w:rPr>
      </w:pPr>
    </w:p>
    <w:p w14:paraId="0F35AC4C" w14:textId="77777777" w:rsidR="00337676" w:rsidRPr="000634A4" w:rsidRDefault="00337676">
      <w:pPr>
        <w:rPr>
          <w:sz w:val="22"/>
          <w:szCs w:val="22"/>
        </w:rPr>
      </w:pPr>
    </w:p>
    <w:p w14:paraId="191FA838" w14:textId="77777777" w:rsidR="00337676" w:rsidRPr="000634A4" w:rsidRDefault="00337676">
      <w:pPr>
        <w:rPr>
          <w:sz w:val="22"/>
          <w:szCs w:val="22"/>
        </w:rPr>
      </w:pPr>
    </w:p>
    <w:p w14:paraId="6E852031" w14:textId="77777777" w:rsidR="00337676" w:rsidRPr="000634A4" w:rsidRDefault="00337676">
      <w:pPr>
        <w:rPr>
          <w:sz w:val="22"/>
          <w:szCs w:val="22"/>
        </w:rPr>
      </w:pPr>
    </w:p>
    <w:p w14:paraId="0430EC51" w14:textId="77777777" w:rsidR="00337676" w:rsidRPr="000634A4" w:rsidRDefault="00337676">
      <w:pPr>
        <w:rPr>
          <w:sz w:val="22"/>
          <w:szCs w:val="22"/>
        </w:rPr>
      </w:pPr>
    </w:p>
    <w:p w14:paraId="63E6A448" w14:textId="77777777" w:rsidR="00337676" w:rsidRPr="000634A4" w:rsidRDefault="00337676">
      <w:pPr>
        <w:rPr>
          <w:sz w:val="22"/>
          <w:szCs w:val="22"/>
        </w:rPr>
      </w:pPr>
    </w:p>
    <w:p w14:paraId="22395B97" w14:textId="77777777" w:rsidR="00337676" w:rsidRPr="000634A4" w:rsidRDefault="00337676">
      <w:pPr>
        <w:rPr>
          <w:sz w:val="22"/>
          <w:szCs w:val="22"/>
        </w:rPr>
      </w:pPr>
    </w:p>
    <w:p w14:paraId="0D7B65E2" w14:textId="77777777" w:rsidR="00337676" w:rsidRPr="000634A4" w:rsidRDefault="00337676">
      <w:pPr>
        <w:rPr>
          <w:sz w:val="22"/>
          <w:szCs w:val="22"/>
        </w:rPr>
      </w:pPr>
    </w:p>
    <w:p w14:paraId="52004127" w14:textId="77777777" w:rsidR="00337676" w:rsidRPr="000634A4" w:rsidRDefault="00337676">
      <w:pPr>
        <w:rPr>
          <w:sz w:val="22"/>
          <w:szCs w:val="22"/>
        </w:rPr>
      </w:pPr>
    </w:p>
    <w:p w14:paraId="6ED05BE4" w14:textId="77777777" w:rsidR="00337676" w:rsidRPr="000634A4" w:rsidRDefault="00337676">
      <w:pPr>
        <w:rPr>
          <w:sz w:val="22"/>
          <w:szCs w:val="22"/>
        </w:rPr>
      </w:pPr>
    </w:p>
    <w:p w14:paraId="4A623B27" w14:textId="77777777" w:rsidR="00B55309" w:rsidRPr="000634A4" w:rsidRDefault="00B55309">
      <w:pPr>
        <w:rPr>
          <w:sz w:val="22"/>
          <w:szCs w:val="22"/>
        </w:rPr>
      </w:pPr>
    </w:p>
    <w:p w14:paraId="358434CA" w14:textId="77777777" w:rsidR="00B55309" w:rsidRPr="000634A4" w:rsidRDefault="00B55309">
      <w:pPr>
        <w:rPr>
          <w:sz w:val="22"/>
          <w:szCs w:val="22"/>
        </w:rPr>
      </w:pPr>
    </w:p>
    <w:p w14:paraId="4EE4262B" w14:textId="0974390D" w:rsidR="00B55309" w:rsidRPr="000634A4" w:rsidRDefault="00B55309">
      <w:pPr>
        <w:rPr>
          <w:sz w:val="22"/>
          <w:szCs w:val="22"/>
        </w:rPr>
      </w:pPr>
    </w:p>
    <w:p w14:paraId="4ABD6D7B" w14:textId="601DE5A4" w:rsidR="001A7530" w:rsidRPr="000634A4" w:rsidRDefault="001A7530">
      <w:pPr>
        <w:rPr>
          <w:sz w:val="22"/>
          <w:szCs w:val="22"/>
        </w:rPr>
      </w:pPr>
    </w:p>
    <w:p w14:paraId="75FFBC3C" w14:textId="6EE54D12" w:rsidR="001A7530" w:rsidRPr="000634A4" w:rsidRDefault="001A7530">
      <w:pPr>
        <w:rPr>
          <w:sz w:val="22"/>
          <w:szCs w:val="22"/>
        </w:rPr>
      </w:pPr>
    </w:p>
    <w:p w14:paraId="6DCA8E5E" w14:textId="60EBE682" w:rsidR="001A7530" w:rsidRPr="000634A4" w:rsidRDefault="001A7530">
      <w:pPr>
        <w:rPr>
          <w:sz w:val="22"/>
          <w:szCs w:val="22"/>
        </w:rPr>
      </w:pPr>
    </w:p>
    <w:p w14:paraId="54F6FE90" w14:textId="203BB83E" w:rsidR="001D61AC" w:rsidRPr="000634A4" w:rsidRDefault="001D61AC">
      <w:pPr>
        <w:rPr>
          <w:sz w:val="22"/>
          <w:szCs w:val="22"/>
        </w:rPr>
      </w:pPr>
    </w:p>
    <w:p w14:paraId="2E17E4E9" w14:textId="77777777" w:rsidR="00F37A46" w:rsidRPr="000634A4" w:rsidRDefault="00F37A46">
      <w:pPr>
        <w:rPr>
          <w:sz w:val="22"/>
          <w:szCs w:val="22"/>
        </w:rPr>
      </w:pPr>
    </w:p>
    <w:p w14:paraId="581B2ECD" w14:textId="1EA8E745" w:rsidR="0033151B" w:rsidRPr="000634A4" w:rsidRDefault="0033151B">
      <w:pPr>
        <w:rPr>
          <w:sz w:val="22"/>
          <w:szCs w:val="22"/>
        </w:rPr>
      </w:pPr>
      <w:r w:rsidRPr="000634A4">
        <w:rPr>
          <w:sz w:val="22"/>
          <w:szCs w:val="22"/>
        </w:rPr>
        <w:br w:type="page"/>
      </w:r>
    </w:p>
    <w:p w14:paraId="6BFC0A37" w14:textId="52EC2B95" w:rsidR="00FD5849" w:rsidRPr="000634A4" w:rsidRDefault="00FD5849" w:rsidP="00FD5849">
      <w:pPr>
        <w:tabs>
          <w:tab w:val="left" w:pos="7020"/>
        </w:tabs>
        <w:rPr>
          <w:b/>
          <w:bCs/>
          <w:sz w:val="22"/>
          <w:szCs w:val="22"/>
        </w:rPr>
      </w:pPr>
      <w:r w:rsidRPr="000634A4">
        <w:rPr>
          <w:sz w:val="22"/>
          <w:szCs w:val="22"/>
        </w:rPr>
        <w:lastRenderedPageBreak/>
        <w:tab/>
        <w:t xml:space="preserve">      </w:t>
      </w:r>
      <w:r w:rsidRPr="000634A4">
        <w:rPr>
          <w:b/>
          <w:bCs/>
          <w:sz w:val="22"/>
          <w:szCs w:val="22"/>
        </w:rPr>
        <w:t>Exhibit 31.1</w:t>
      </w:r>
    </w:p>
    <w:p w14:paraId="3F20D445" w14:textId="77777777" w:rsidR="00FD5849" w:rsidRPr="000634A4" w:rsidRDefault="00FD5849" w:rsidP="00FD5849">
      <w:pPr>
        <w:ind w:left="360"/>
        <w:jc w:val="center"/>
        <w:rPr>
          <w:sz w:val="22"/>
          <w:szCs w:val="22"/>
        </w:rPr>
      </w:pPr>
      <w:r w:rsidRPr="000634A4">
        <w:rPr>
          <w:sz w:val="22"/>
          <w:szCs w:val="22"/>
        </w:rPr>
        <w:t>CERTIFICATIONS</w:t>
      </w:r>
    </w:p>
    <w:p w14:paraId="697C314F" w14:textId="77777777" w:rsidR="00FD5849" w:rsidRPr="000634A4" w:rsidRDefault="00FD5849" w:rsidP="00FD5849">
      <w:pPr>
        <w:ind w:left="360"/>
        <w:jc w:val="center"/>
        <w:rPr>
          <w:sz w:val="22"/>
          <w:szCs w:val="22"/>
        </w:rPr>
      </w:pPr>
    </w:p>
    <w:p w14:paraId="5C7C8029" w14:textId="58920E8A" w:rsidR="00FD5849" w:rsidRPr="000634A4" w:rsidRDefault="00FD5849" w:rsidP="00FD5849">
      <w:pPr>
        <w:rPr>
          <w:sz w:val="22"/>
          <w:szCs w:val="22"/>
        </w:rPr>
      </w:pPr>
      <w:r w:rsidRPr="000634A4">
        <w:rPr>
          <w:sz w:val="22"/>
          <w:szCs w:val="22"/>
        </w:rPr>
        <w:t xml:space="preserve">I, Jack </w:t>
      </w:r>
      <w:r w:rsidR="00043BA6" w:rsidRPr="000634A4">
        <w:rPr>
          <w:sz w:val="22"/>
          <w:szCs w:val="22"/>
        </w:rPr>
        <w:t xml:space="preserve">S. </w:t>
      </w:r>
      <w:r w:rsidRPr="000634A4">
        <w:rPr>
          <w:sz w:val="22"/>
          <w:szCs w:val="22"/>
        </w:rPr>
        <w:t>Abuhoff, certify that:</w:t>
      </w:r>
    </w:p>
    <w:p w14:paraId="2F4D8448" w14:textId="77777777" w:rsidR="00FD5849" w:rsidRPr="000634A4" w:rsidRDefault="00FD5849" w:rsidP="00FD5849">
      <w:pPr>
        <w:rPr>
          <w:sz w:val="22"/>
          <w:szCs w:val="22"/>
        </w:rPr>
      </w:pPr>
    </w:p>
    <w:p w14:paraId="4BD87A66" w14:textId="77777777" w:rsidR="00FD5849" w:rsidRPr="000634A4" w:rsidRDefault="00FD5849" w:rsidP="00FD5849">
      <w:pPr>
        <w:pStyle w:val="Footer"/>
        <w:numPr>
          <w:ilvl w:val="0"/>
          <w:numId w:val="1"/>
        </w:numPr>
        <w:tabs>
          <w:tab w:val="clear" w:pos="4320"/>
          <w:tab w:val="clear" w:pos="8640"/>
          <w:tab w:val="num" w:pos="360"/>
        </w:tabs>
        <w:ind w:left="720"/>
        <w:jc w:val="both"/>
        <w:rPr>
          <w:rFonts w:ascii="Times New Roman" w:hAnsi="Times New Roman"/>
          <w:sz w:val="22"/>
          <w:szCs w:val="22"/>
        </w:rPr>
      </w:pPr>
      <w:r w:rsidRPr="000634A4">
        <w:rPr>
          <w:rFonts w:ascii="Times New Roman" w:hAnsi="Times New Roman"/>
          <w:sz w:val="22"/>
          <w:szCs w:val="22"/>
        </w:rPr>
        <w:t>I have reviewed this annual report on Form 10-K of Innodata Inc.;</w:t>
      </w:r>
    </w:p>
    <w:p w14:paraId="4ADC7664" w14:textId="77777777" w:rsidR="00FD5849" w:rsidRPr="000634A4" w:rsidRDefault="00FD5849" w:rsidP="00FD5849">
      <w:pPr>
        <w:pStyle w:val="Footer"/>
        <w:tabs>
          <w:tab w:val="clear" w:pos="4320"/>
          <w:tab w:val="clear" w:pos="8640"/>
        </w:tabs>
        <w:jc w:val="both"/>
        <w:rPr>
          <w:rFonts w:ascii="Times New Roman" w:hAnsi="Times New Roman"/>
          <w:sz w:val="22"/>
          <w:szCs w:val="22"/>
        </w:rPr>
      </w:pPr>
    </w:p>
    <w:p w14:paraId="06B6C448" w14:textId="77777777" w:rsidR="00FD5849" w:rsidRPr="000634A4" w:rsidRDefault="00FD5849" w:rsidP="00FD5849">
      <w:pPr>
        <w:numPr>
          <w:ilvl w:val="0"/>
          <w:numId w:val="1"/>
        </w:numPr>
        <w:tabs>
          <w:tab w:val="clear" w:pos="1080"/>
          <w:tab w:val="num" w:pos="360"/>
        </w:tabs>
        <w:ind w:left="360" w:hanging="360"/>
        <w:jc w:val="both"/>
        <w:rPr>
          <w:sz w:val="22"/>
          <w:szCs w:val="22"/>
        </w:rPr>
      </w:pPr>
      <w:r w:rsidRPr="000634A4">
        <w:rPr>
          <w:sz w:val="22"/>
          <w:szCs w:val="22"/>
        </w:rPr>
        <w:t>Based on my knowledge, this annual report does not contain any untrue statement of a material fact or omit to state a material fact necessary to make the statements made, in light of the circumstances under which such statements were made, not misleading with respect to the period covered by this annual report;</w:t>
      </w:r>
    </w:p>
    <w:p w14:paraId="2C94AB7D" w14:textId="77777777" w:rsidR="00FD5849" w:rsidRPr="000634A4" w:rsidRDefault="00FD5849" w:rsidP="00FD5849">
      <w:pPr>
        <w:jc w:val="both"/>
        <w:rPr>
          <w:sz w:val="22"/>
          <w:szCs w:val="22"/>
        </w:rPr>
      </w:pPr>
    </w:p>
    <w:p w14:paraId="5E83B020" w14:textId="77777777" w:rsidR="00FD5849" w:rsidRPr="000634A4" w:rsidRDefault="00FD5849" w:rsidP="00FD5849">
      <w:pPr>
        <w:numPr>
          <w:ilvl w:val="0"/>
          <w:numId w:val="1"/>
        </w:numPr>
        <w:tabs>
          <w:tab w:val="clear" w:pos="1080"/>
        </w:tabs>
        <w:ind w:left="360" w:hanging="360"/>
        <w:jc w:val="both"/>
        <w:rPr>
          <w:sz w:val="22"/>
          <w:szCs w:val="22"/>
        </w:rPr>
      </w:pPr>
      <w:r w:rsidRPr="000634A4">
        <w:rPr>
          <w:sz w:val="22"/>
          <w:szCs w:val="22"/>
        </w:rPr>
        <w:t>Based on my knowledge, the financial statements, and other financial information included in this annual report, fairly present in all material respects the financial condition, results of operations and cash flows of the registrant as of, and for, the periods presented in this annual report;</w:t>
      </w:r>
    </w:p>
    <w:p w14:paraId="7D08B408" w14:textId="77777777" w:rsidR="00FD5849" w:rsidRPr="000634A4" w:rsidRDefault="00FD5849" w:rsidP="00FD5849">
      <w:pPr>
        <w:jc w:val="both"/>
        <w:rPr>
          <w:sz w:val="22"/>
          <w:szCs w:val="22"/>
        </w:rPr>
      </w:pPr>
    </w:p>
    <w:p w14:paraId="51EF9323" w14:textId="77777777" w:rsidR="00FD5849" w:rsidRPr="000634A4" w:rsidRDefault="00FD5849" w:rsidP="00FD5849">
      <w:pPr>
        <w:numPr>
          <w:ilvl w:val="0"/>
          <w:numId w:val="1"/>
        </w:numPr>
        <w:tabs>
          <w:tab w:val="clear" w:pos="1080"/>
          <w:tab w:val="num" w:pos="360"/>
        </w:tabs>
        <w:ind w:left="360" w:hanging="360"/>
        <w:jc w:val="both"/>
        <w:rPr>
          <w:sz w:val="22"/>
          <w:szCs w:val="22"/>
        </w:rPr>
      </w:pPr>
      <w:r w:rsidRPr="000634A4">
        <w:rPr>
          <w:sz w:val="22"/>
          <w:szCs w:val="22"/>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14:paraId="6EEC85D8" w14:textId="77777777" w:rsidR="00FD5849" w:rsidRPr="000634A4" w:rsidRDefault="00FD5849" w:rsidP="00FD5849">
      <w:pPr>
        <w:pStyle w:val="Footer"/>
        <w:tabs>
          <w:tab w:val="clear" w:pos="4320"/>
          <w:tab w:val="clear" w:pos="8640"/>
        </w:tabs>
        <w:jc w:val="both"/>
        <w:rPr>
          <w:rFonts w:ascii="Times New Roman" w:hAnsi="Times New Roman"/>
          <w:sz w:val="22"/>
          <w:szCs w:val="22"/>
        </w:rPr>
      </w:pPr>
    </w:p>
    <w:p w14:paraId="02D7B166" w14:textId="77777777" w:rsidR="00FD5849" w:rsidRPr="000634A4" w:rsidRDefault="00FD5849" w:rsidP="00FD5849">
      <w:pPr>
        <w:pStyle w:val="Footer"/>
        <w:numPr>
          <w:ilvl w:val="0"/>
          <w:numId w:val="2"/>
        </w:numPr>
        <w:tabs>
          <w:tab w:val="clear" w:pos="4320"/>
          <w:tab w:val="clear" w:pos="8640"/>
          <w:tab w:val="num" w:pos="1080"/>
        </w:tabs>
        <w:ind w:left="900" w:hanging="540"/>
        <w:jc w:val="both"/>
        <w:rPr>
          <w:rFonts w:ascii="Times New Roman" w:hAnsi="Times New Roman"/>
          <w:sz w:val="22"/>
          <w:szCs w:val="22"/>
        </w:rPr>
      </w:pPr>
      <w:r w:rsidRPr="000634A4">
        <w:rPr>
          <w:rFonts w:ascii="Times New Roman" w:hAnsi="Times New Roman"/>
          <w:sz w:val="22"/>
          <w:szCs w:val="22"/>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annual report is being prepared;</w:t>
      </w:r>
    </w:p>
    <w:p w14:paraId="27BD4855" w14:textId="77777777" w:rsidR="00FD5849" w:rsidRPr="000634A4" w:rsidRDefault="00FD5849" w:rsidP="00FD5849">
      <w:pPr>
        <w:pStyle w:val="Footer"/>
        <w:tabs>
          <w:tab w:val="clear" w:pos="4320"/>
          <w:tab w:val="clear" w:pos="8640"/>
          <w:tab w:val="num" w:pos="1080"/>
        </w:tabs>
        <w:ind w:left="900" w:hanging="540"/>
        <w:jc w:val="both"/>
        <w:rPr>
          <w:rFonts w:ascii="Times New Roman" w:hAnsi="Times New Roman"/>
          <w:sz w:val="22"/>
          <w:szCs w:val="22"/>
        </w:rPr>
      </w:pPr>
    </w:p>
    <w:p w14:paraId="238CBA27" w14:textId="77777777" w:rsidR="00FD5849" w:rsidRPr="000634A4" w:rsidRDefault="00FD5849" w:rsidP="00FD5849">
      <w:pPr>
        <w:numPr>
          <w:ilvl w:val="0"/>
          <w:numId w:val="2"/>
        </w:numPr>
        <w:shd w:val="clear" w:color="auto" w:fill="FFFFFF"/>
        <w:tabs>
          <w:tab w:val="num" w:pos="1080"/>
        </w:tabs>
        <w:ind w:left="900" w:hanging="540"/>
        <w:jc w:val="both"/>
        <w:rPr>
          <w:sz w:val="22"/>
          <w:szCs w:val="22"/>
        </w:rPr>
      </w:pPr>
      <w:r w:rsidRPr="000634A4">
        <w:rPr>
          <w:sz w:val="22"/>
          <w:szCs w:val="22"/>
        </w:rPr>
        <w:t xml:space="preserve">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 </w:t>
      </w:r>
    </w:p>
    <w:p w14:paraId="68CE2968" w14:textId="77777777" w:rsidR="00FD5849" w:rsidRPr="000634A4" w:rsidRDefault="00FD5849" w:rsidP="00FD5849">
      <w:pPr>
        <w:shd w:val="clear" w:color="auto" w:fill="FFFFFF"/>
        <w:tabs>
          <w:tab w:val="num" w:pos="1080"/>
        </w:tabs>
        <w:ind w:left="900" w:hanging="540"/>
        <w:jc w:val="both"/>
        <w:rPr>
          <w:sz w:val="22"/>
          <w:szCs w:val="22"/>
        </w:rPr>
      </w:pPr>
    </w:p>
    <w:p w14:paraId="4817604F" w14:textId="77777777" w:rsidR="00FD5849" w:rsidRPr="000634A4" w:rsidRDefault="00FD5849" w:rsidP="00FD5849">
      <w:pPr>
        <w:numPr>
          <w:ilvl w:val="0"/>
          <w:numId w:val="2"/>
        </w:numPr>
        <w:shd w:val="clear" w:color="auto" w:fill="FFFFFF"/>
        <w:tabs>
          <w:tab w:val="num" w:pos="1080"/>
        </w:tabs>
        <w:ind w:left="900" w:hanging="540"/>
        <w:jc w:val="both"/>
        <w:rPr>
          <w:sz w:val="22"/>
          <w:szCs w:val="22"/>
        </w:rPr>
      </w:pPr>
      <w:r w:rsidRPr="000634A4">
        <w:rPr>
          <w:sz w:val="22"/>
          <w:szCs w:val="22"/>
        </w:rPr>
        <w:t xml:space="preserve">evaluated the effectiveness of the registrant’s disclosure controls and procedures and presented in this annual report our conclusions about the effectiveness of the disclosure controls and procedures, as of the end of the period covered by this report based on such evaluation; and </w:t>
      </w:r>
    </w:p>
    <w:p w14:paraId="43D69542" w14:textId="77777777" w:rsidR="00FD5849" w:rsidRPr="000634A4" w:rsidRDefault="00FD5849" w:rsidP="00FD5849">
      <w:pPr>
        <w:shd w:val="clear" w:color="auto" w:fill="FFFFFF"/>
        <w:tabs>
          <w:tab w:val="num" w:pos="1080"/>
        </w:tabs>
        <w:ind w:left="900" w:hanging="540"/>
        <w:jc w:val="both"/>
        <w:rPr>
          <w:sz w:val="22"/>
          <w:szCs w:val="22"/>
        </w:rPr>
      </w:pPr>
    </w:p>
    <w:p w14:paraId="1A28E7A9" w14:textId="77777777" w:rsidR="00FD5849" w:rsidRPr="000634A4" w:rsidRDefault="00FD5849" w:rsidP="00FD5849">
      <w:pPr>
        <w:numPr>
          <w:ilvl w:val="0"/>
          <w:numId w:val="2"/>
        </w:numPr>
        <w:shd w:val="clear" w:color="auto" w:fill="FFFFFF"/>
        <w:tabs>
          <w:tab w:val="num" w:pos="1080"/>
        </w:tabs>
        <w:ind w:left="900" w:hanging="540"/>
        <w:jc w:val="both"/>
        <w:rPr>
          <w:sz w:val="22"/>
          <w:szCs w:val="22"/>
        </w:rPr>
      </w:pPr>
      <w:r w:rsidRPr="000634A4">
        <w:rPr>
          <w:sz w:val="22"/>
          <w:szCs w:val="22"/>
        </w:rPr>
        <w:t>disclosed in this report any change in the registrant’s internal control over financial reporting that occurred during the registrant’s fourth fiscal quarter that has materially affected, or is reasonably likely to materially affect, the registrant’s internal control over financial reporting. </w:t>
      </w:r>
    </w:p>
    <w:p w14:paraId="33CF9B12" w14:textId="366DE585" w:rsidR="00FD5849" w:rsidRPr="000634A4" w:rsidRDefault="00FD5849" w:rsidP="00501AD3">
      <w:pPr>
        <w:rPr>
          <w:sz w:val="22"/>
          <w:szCs w:val="22"/>
        </w:rPr>
      </w:pPr>
      <w:r w:rsidRPr="000634A4">
        <w:rPr>
          <w:sz w:val="22"/>
          <w:szCs w:val="22"/>
        </w:rPr>
        <w:t> </w:t>
      </w:r>
    </w:p>
    <w:p w14:paraId="3E7CD59C" w14:textId="310AF4D0" w:rsidR="00FD5849" w:rsidRPr="000634A4" w:rsidRDefault="00FD5849" w:rsidP="00FD5849">
      <w:pPr>
        <w:pStyle w:val="Footer"/>
        <w:tabs>
          <w:tab w:val="clear" w:pos="4320"/>
          <w:tab w:val="clear" w:pos="8640"/>
        </w:tabs>
        <w:ind w:left="360" w:hanging="360"/>
        <w:jc w:val="both"/>
        <w:rPr>
          <w:rFonts w:ascii="Times New Roman" w:hAnsi="Times New Roman"/>
          <w:sz w:val="22"/>
          <w:szCs w:val="22"/>
        </w:rPr>
      </w:pPr>
      <w:r w:rsidRPr="000634A4">
        <w:rPr>
          <w:rFonts w:ascii="Times New Roman" w:hAnsi="Times New Roman"/>
          <w:sz w:val="22"/>
          <w:szCs w:val="22"/>
        </w:rPr>
        <w:t>5.</w:t>
      </w:r>
      <w:r w:rsidRPr="000634A4">
        <w:rPr>
          <w:rFonts w:ascii="Times New Roman" w:hAnsi="Times New Roman"/>
          <w:sz w:val="22"/>
          <w:szCs w:val="22"/>
        </w:rPr>
        <w:tab/>
        <w:t>The registrant’s other certifying officers and I have disclosed, based on our most recent evaluation of internal controls over financial reporting, to the registrant’s auditors and the audit committee of registrant’s board of directors (or persons performing the equivalent function):</w:t>
      </w:r>
    </w:p>
    <w:p w14:paraId="561B93DE" w14:textId="77777777" w:rsidR="00FD5849" w:rsidRPr="000634A4" w:rsidRDefault="00FD5849" w:rsidP="00FD5849">
      <w:pPr>
        <w:pStyle w:val="Footer"/>
        <w:tabs>
          <w:tab w:val="clear" w:pos="4320"/>
          <w:tab w:val="clear" w:pos="8640"/>
        </w:tabs>
        <w:ind w:left="360"/>
        <w:jc w:val="both"/>
        <w:rPr>
          <w:rFonts w:ascii="Times New Roman" w:hAnsi="Times New Roman"/>
          <w:sz w:val="22"/>
          <w:szCs w:val="22"/>
        </w:rPr>
      </w:pPr>
    </w:p>
    <w:p w14:paraId="7B048F73" w14:textId="77777777" w:rsidR="00FD5849" w:rsidRPr="000634A4" w:rsidRDefault="00FD5849" w:rsidP="00FD5849">
      <w:pPr>
        <w:pStyle w:val="Footer"/>
        <w:numPr>
          <w:ilvl w:val="0"/>
          <w:numId w:val="5"/>
        </w:numPr>
        <w:tabs>
          <w:tab w:val="clear" w:pos="4320"/>
          <w:tab w:val="clear" w:pos="8640"/>
          <w:tab w:val="num" w:pos="900"/>
        </w:tabs>
        <w:ind w:left="900" w:hanging="540"/>
        <w:jc w:val="both"/>
        <w:rPr>
          <w:rFonts w:ascii="Times New Roman" w:hAnsi="Times New Roman"/>
          <w:sz w:val="22"/>
          <w:szCs w:val="22"/>
        </w:rPr>
      </w:pPr>
      <w:r w:rsidRPr="000634A4">
        <w:rPr>
          <w:rFonts w:ascii="Times New Roman" w:hAnsi="Times New Roman"/>
          <w:sz w:val="22"/>
          <w:szCs w:val="22"/>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14:paraId="79002CE1" w14:textId="77777777" w:rsidR="00FD5849" w:rsidRPr="000634A4" w:rsidRDefault="00FD5849" w:rsidP="00FD5849">
      <w:pPr>
        <w:pStyle w:val="Footer"/>
        <w:tabs>
          <w:tab w:val="clear" w:pos="4320"/>
          <w:tab w:val="clear" w:pos="8640"/>
          <w:tab w:val="num" w:pos="900"/>
        </w:tabs>
        <w:ind w:left="900" w:hanging="540"/>
        <w:jc w:val="both"/>
        <w:rPr>
          <w:rFonts w:ascii="Times New Roman" w:hAnsi="Times New Roman"/>
          <w:sz w:val="22"/>
          <w:szCs w:val="22"/>
        </w:rPr>
      </w:pPr>
    </w:p>
    <w:p w14:paraId="16C6A88E" w14:textId="77777777" w:rsidR="00FD5849" w:rsidRPr="000634A4" w:rsidRDefault="00FD5849" w:rsidP="00FD5849">
      <w:pPr>
        <w:pStyle w:val="Footer"/>
        <w:numPr>
          <w:ilvl w:val="0"/>
          <w:numId w:val="5"/>
        </w:numPr>
        <w:tabs>
          <w:tab w:val="clear" w:pos="4320"/>
          <w:tab w:val="clear" w:pos="8640"/>
          <w:tab w:val="num" w:pos="900"/>
        </w:tabs>
        <w:ind w:left="900" w:hanging="540"/>
        <w:jc w:val="both"/>
        <w:rPr>
          <w:rFonts w:ascii="Times New Roman" w:hAnsi="Times New Roman"/>
          <w:sz w:val="22"/>
          <w:szCs w:val="22"/>
        </w:rPr>
      </w:pPr>
      <w:r w:rsidRPr="000634A4">
        <w:rPr>
          <w:rFonts w:ascii="Times New Roman" w:hAnsi="Times New Roman"/>
          <w:sz w:val="22"/>
          <w:szCs w:val="22"/>
        </w:rPr>
        <w:t>any fraud, whether or not material, that involves management or other employees who have a significant role in the registrant’s internal control over financial reporting.</w:t>
      </w:r>
    </w:p>
    <w:p w14:paraId="5E3D09F4" w14:textId="77777777" w:rsidR="00337676" w:rsidRPr="000634A4" w:rsidRDefault="00337676">
      <w:pPr>
        <w:rPr>
          <w:sz w:val="22"/>
          <w:szCs w:val="22"/>
        </w:rPr>
      </w:pPr>
    </w:p>
    <w:p w14:paraId="13B79636" w14:textId="1EF4EA3F" w:rsidR="00FD5849" w:rsidRPr="000634A4" w:rsidRDefault="00FD5849" w:rsidP="00FD5849">
      <w:pPr>
        <w:pStyle w:val="Footer"/>
        <w:tabs>
          <w:tab w:val="clear" w:pos="4320"/>
          <w:tab w:val="clear" w:pos="8640"/>
        </w:tabs>
        <w:rPr>
          <w:rFonts w:ascii="Times New Roman" w:hAnsi="Times New Roman"/>
          <w:sz w:val="22"/>
          <w:szCs w:val="22"/>
        </w:rPr>
      </w:pPr>
      <w:r w:rsidRPr="000634A4">
        <w:rPr>
          <w:rFonts w:ascii="Times New Roman" w:hAnsi="Times New Roman"/>
          <w:sz w:val="22"/>
          <w:szCs w:val="22"/>
        </w:rPr>
        <w:t xml:space="preserve">Dated:  </w:t>
      </w:r>
      <w:r w:rsidR="005B3C47" w:rsidRPr="000634A4">
        <w:rPr>
          <w:rFonts w:ascii="Times New Roman" w:hAnsi="Times New Roman"/>
          <w:sz w:val="22"/>
          <w:szCs w:val="22"/>
        </w:rPr>
        <w:t>February 23, 2023</w:t>
      </w:r>
    </w:p>
    <w:tbl>
      <w:tblPr>
        <w:tblW w:w="0" w:type="auto"/>
        <w:tblInd w:w="5058" w:type="dxa"/>
        <w:tblLook w:val="0000" w:firstRow="0" w:lastRow="0" w:firstColumn="0" w:lastColumn="0" w:noHBand="0" w:noVBand="0"/>
      </w:tblPr>
      <w:tblGrid>
        <w:gridCol w:w="3960"/>
      </w:tblGrid>
      <w:tr w:rsidR="009E3590" w:rsidRPr="000634A4" w14:paraId="7A8582A4" w14:textId="77777777" w:rsidTr="00D03196">
        <w:tc>
          <w:tcPr>
            <w:tcW w:w="3960" w:type="dxa"/>
            <w:tcBorders>
              <w:bottom w:val="single" w:sz="4" w:space="0" w:color="auto"/>
            </w:tcBorders>
          </w:tcPr>
          <w:p w14:paraId="050A6306" w14:textId="0DE2E423" w:rsidR="00FD5849" w:rsidRPr="000634A4" w:rsidRDefault="00FD5849" w:rsidP="00D03196">
            <w:pPr>
              <w:tabs>
                <w:tab w:val="left" w:pos="162"/>
                <w:tab w:val="left" w:pos="1242"/>
              </w:tabs>
              <w:rPr>
                <w:sz w:val="22"/>
                <w:szCs w:val="22"/>
              </w:rPr>
            </w:pPr>
            <w:r w:rsidRPr="000634A4">
              <w:rPr>
                <w:sz w:val="22"/>
                <w:szCs w:val="22"/>
              </w:rPr>
              <w:t xml:space="preserve">/s/ Jack </w:t>
            </w:r>
            <w:r w:rsidR="00043BA6" w:rsidRPr="000634A4">
              <w:rPr>
                <w:sz w:val="22"/>
                <w:szCs w:val="22"/>
              </w:rPr>
              <w:t xml:space="preserve">S. </w:t>
            </w:r>
            <w:r w:rsidRPr="000634A4">
              <w:rPr>
                <w:sz w:val="22"/>
                <w:szCs w:val="22"/>
              </w:rPr>
              <w:t>Abuhoff</w:t>
            </w:r>
          </w:p>
        </w:tc>
      </w:tr>
      <w:tr w:rsidR="009E3590" w:rsidRPr="000634A4" w14:paraId="4C67CF4D" w14:textId="77777777" w:rsidTr="00D03196">
        <w:tc>
          <w:tcPr>
            <w:tcW w:w="3960" w:type="dxa"/>
            <w:tcBorders>
              <w:top w:val="single" w:sz="4" w:space="0" w:color="auto"/>
            </w:tcBorders>
          </w:tcPr>
          <w:p w14:paraId="6EF1C6E2" w14:textId="79EF5B07" w:rsidR="00FD5849" w:rsidRPr="000634A4" w:rsidRDefault="00FD5849" w:rsidP="00D03196">
            <w:pPr>
              <w:tabs>
                <w:tab w:val="left" w:pos="900"/>
                <w:tab w:val="left" w:pos="6930"/>
              </w:tabs>
              <w:rPr>
                <w:sz w:val="22"/>
                <w:szCs w:val="22"/>
              </w:rPr>
            </w:pPr>
            <w:r w:rsidRPr="000634A4">
              <w:rPr>
                <w:sz w:val="22"/>
                <w:szCs w:val="22"/>
              </w:rPr>
              <w:t xml:space="preserve">Jack </w:t>
            </w:r>
            <w:r w:rsidR="00043BA6" w:rsidRPr="000634A4">
              <w:rPr>
                <w:sz w:val="22"/>
                <w:szCs w:val="22"/>
              </w:rPr>
              <w:t xml:space="preserve">S. </w:t>
            </w:r>
            <w:r w:rsidRPr="000634A4">
              <w:rPr>
                <w:sz w:val="22"/>
                <w:szCs w:val="22"/>
              </w:rPr>
              <w:t xml:space="preserve">Abuhoff </w:t>
            </w:r>
          </w:p>
        </w:tc>
      </w:tr>
      <w:tr w:rsidR="00FD5849" w:rsidRPr="000634A4" w14:paraId="51737357" w14:textId="77777777" w:rsidTr="00D03196">
        <w:tc>
          <w:tcPr>
            <w:tcW w:w="3960" w:type="dxa"/>
          </w:tcPr>
          <w:p w14:paraId="6A4E1B1F" w14:textId="77777777" w:rsidR="00FD5849" w:rsidRPr="000634A4" w:rsidRDefault="00FD5849" w:rsidP="00D03196">
            <w:pPr>
              <w:tabs>
                <w:tab w:val="left" w:pos="900"/>
                <w:tab w:val="left" w:pos="6930"/>
              </w:tabs>
              <w:rPr>
                <w:sz w:val="22"/>
                <w:szCs w:val="22"/>
              </w:rPr>
            </w:pPr>
            <w:r w:rsidRPr="000634A4">
              <w:rPr>
                <w:sz w:val="22"/>
                <w:szCs w:val="22"/>
              </w:rPr>
              <w:t>Chief Executive Officer and President</w:t>
            </w:r>
          </w:p>
        </w:tc>
      </w:tr>
    </w:tbl>
    <w:p w14:paraId="4654FD13" w14:textId="1D5B6810" w:rsidR="002E7BFE" w:rsidRPr="000634A4" w:rsidRDefault="002E7BFE" w:rsidP="002E7BFE">
      <w:pPr>
        <w:tabs>
          <w:tab w:val="left" w:pos="7020"/>
        </w:tabs>
        <w:rPr>
          <w:b/>
          <w:bCs/>
          <w:sz w:val="22"/>
          <w:szCs w:val="22"/>
        </w:rPr>
      </w:pPr>
      <w:r w:rsidRPr="000634A4">
        <w:rPr>
          <w:b/>
          <w:bCs/>
          <w:sz w:val="22"/>
          <w:szCs w:val="22"/>
        </w:rPr>
        <w:lastRenderedPageBreak/>
        <w:t xml:space="preserve">      </w:t>
      </w:r>
      <w:r w:rsidR="00386D6E" w:rsidRPr="000634A4">
        <w:rPr>
          <w:b/>
          <w:bCs/>
          <w:sz w:val="22"/>
          <w:szCs w:val="22"/>
        </w:rPr>
        <w:tab/>
      </w:r>
      <w:r w:rsidR="00386D6E" w:rsidRPr="000634A4">
        <w:rPr>
          <w:b/>
          <w:bCs/>
          <w:sz w:val="22"/>
          <w:szCs w:val="22"/>
        </w:rPr>
        <w:tab/>
      </w:r>
      <w:r w:rsidR="00386D6E" w:rsidRPr="000634A4">
        <w:rPr>
          <w:b/>
          <w:bCs/>
          <w:sz w:val="22"/>
          <w:szCs w:val="22"/>
        </w:rPr>
        <w:tab/>
      </w:r>
      <w:r w:rsidRPr="000634A4">
        <w:rPr>
          <w:b/>
          <w:bCs/>
          <w:sz w:val="22"/>
          <w:szCs w:val="22"/>
        </w:rPr>
        <w:t>Exhibit 31.2</w:t>
      </w:r>
    </w:p>
    <w:p w14:paraId="7C5FB5A0" w14:textId="77777777" w:rsidR="002E7BFE" w:rsidRPr="000634A4" w:rsidRDefault="002E7BFE" w:rsidP="002E7BFE">
      <w:pPr>
        <w:rPr>
          <w:sz w:val="22"/>
          <w:szCs w:val="22"/>
        </w:rPr>
      </w:pPr>
    </w:p>
    <w:p w14:paraId="7EC7C2AB" w14:textId="68100E65" w:rsidR="002E7BFE" w:rsidRPr="000634A4" w:rsidRDefault="002E7BFE" w:rsidP="002E7BFE">
      <w:pPr>
        <w:rPr>
          <w:sz w:val="22"/>
          <w:szCs w:val="22"/>
        </w:rPr>
      </w:pPr>
      <w:r w:rsidRPr="000634A4">
        <w:rPr>
          <w:sz w:val="22"/>
          <w:szCs w:val="22"/>
        </w:rPr>
        <w:t xml:space="preserve">I, </w:t>
      </w:r>
      <w:r w:rsidR="000B4CCD" w:rsidRPr="000634A4">
        <w:rPr>
          <w:sz w:val="22"/>
          <w:szCs w:val="22"/>
        </w:rPr>
        <w:t>M</w:t>
      </w:r>
      <w:r w:rsidR="00832461" w:rsidRPr="000634A4">
        <w:rPr>
          <w:sz w:val="22"/>
          <w:szCs w:val="22"/>
        </w:rPr>
        <w:t>arissa B. Espineli</w:t>
      </w:r>
      <w:r w:rsidRPr="000634A4">
        <w:rPr>
          <w:sz w:val="22"/>
          <w:szCs w:val="22"/>
        </w:rPr>
        <w:t>, certify that:</w:t>
      </w:r>
    </w:p>
    <w:p w14:paraId="50840A96" w14:textId="43761F65" w:rsidR="002E7BFE" w:rsidRPr="000634A4" w:rsidRDefault="002E7BFE" w:rsidP="002E7BFE">
      <w:pPr>
        <w:rPr>
          <w:sz w:val="22"/>
          <w:szCs w:val="22"/>
        </w:rPr>
      </w:pPr>
    </w:p>
    <w:p w14:paraId="74970F0E" w14:textId="77777777" w:rsidR="002E7BFE" w:rsidRPr="000634A4" w:rsidRDefault="002E7BFE" w:rsidP="002E7BFE">
      <w:pPr>
        <w:pStyle w:val="Footer"/>
        <w:numPr>
          <w:ilvl w:val="2"/>
          <w:numId w:val="2"/>
        </w:numPr>
        <w:tabs>
          <w:tab w:val="clear" w:pos="4320"/>
          <w:tab w:val="clear" w:pos="8640"/>
          <w:tab w:val="left" w:pos="360"/>
        </w:tabs>
        <w:ind w:left="1080" w:hanging="1080"/>
        <w:jc w:val="both"/>
        <w:rPr>
          <w:rFonts w:ascii="Times New Roman" w:hAnsi="Times New Roman"/>
          <w:sz w:val="22"/>
          <w:szCs w:val="22"/>
        </w:rPr>
      </w:pPr>
      <w:r w:rsidRPr="000634A4">
        <w:rPr>
          <w:rFonts w:ascii="Times New Roman" w:hAnsi="Times New Roman"/>
          <w:sz w:val="22"/>
          <w:szCs w:val="22"/>
        </w:rPr>
        <w:t>I have reviewed this annual report on Form 10-K of Innodata Inc.;</w:t>
      </w:r>
    </w:p>
    <w:p w14:paraId="622981DF" w14:textId="77777777" w:rsidR="002E7BFE" w:rsidRPr="000634A4" w:rsidRDefault="002E7BFE" w:rsidP="002E7BFE">
      <w:pPr>
        <w:ind w:left="360" w:hanging="360"/>
        <w:jc w:val="both"/>
        <w:rPr>
          <w:sz w:val="22"/>
          <w:szCs w:val="22"/>
        </w:rPr>
      </w:pPr>
    </w:p>
    <w:p w14:paraId="6D683687" w14:textId="77777777" w:rsidR="002E7BFE" w:rsidRPr="000634A4" w:rsidRDefault="002E7BFE" w:rsidP="002E7BFE">
      <w:pPr>
        <w:pStyle w:val="Footer"/>
        <w:numPr>
          <w:ilvl w:val="2"/>
          <w:numId w:val="2"/>
        </w:numPr>
        <w:tabs>
          <w:tab w:val="clear" w:pos="4320"/>
          <w:tab w:val="clear" w:pos="8640"/>
          <w:tab w:val="left" w:pos="360"/>
        </w:tabs>
        <w:ind w:left="360" w:hanging="360"/>
        <w:jc w:val="both"/>
        <w:rPr>
          <w:rFonts w:ascii="Times New Roman" w:hAnsi="Times New Roman"/>
          <w:sz w:val="22"/>
          <w:szCs w:val="22"/>
        </w:rPr>
      </w:pPr>
      <w:r w:rsidRPr="000634A4">
        <w:rPr>
          <w:rFonts w:ascii="Times New Roman" w:hAnsi="Times New Roman"/>
          <w:sz w:val="22"/>
          <w:szCs w:val="22"/>
        </w:rPr>
        <w:t>Based on my knowledge, this annual report does not contain any untrue statement of a material fact or omit to state a material fact necessary to make the statements made, in light of the circumstances under which such statements were made, not misleading with respect to the period covered by this annual report;</w:t>
      </w:r>
    </w:p>
    <w:p w14:paraId="5200D62C" w14:textId="77777777" w:rsidR="002E7BFE" w:rsidRPr="000634A4" w:rsidRDefault="002E7BFE" w:rsidP="002E7BFE">
      <w:pPr>
        <w:ind w:left="360" w:hanging="360"/>
        <w:jc w:val="both"/>
        <w:rPr>
          <w:sz w:val="22"/>
          <w:szCs w:val="22"/>
        </w:rPr>
      </w:pPr>
    </w:p>
    <w:p w14:paraId="05253D04" w14:textId="77777777" w:rsidR="002E7BFE" w:rsidRPr="000634A4" w:rsidRDefault="002E7BFE" w:rsidP="002E7BFE">
      <w:pPr>
        <w:pStyle w:val="Footer"/>
        <w:numPr>
          <w:ilvl w:val="2"/>
          <w:numId w:val="2"/>
        </w:numPr>
        <w:tabs>
          <w:tab w:val="clear" w:pos="4320"/>
          <w:tab w:val="clear" w:pos="8640"/>
          <w:tab w:val="left" w:pos="360"/>
        </w:tabs>
        <w:ind w:left="360" w:hanging="360"/>
        <w:jc w:val="both"/>
        <w:rPr>
          <w:rFonts w:ascii="Times New Roman" w:hAnsi="Times New Roman"/>
          <w:sz w:val="22"/>
          <w:szCs w:val="22"/>
        </w:rPr>
      </w:pPr>
      <w:r w:rsidRPr="000634A4">
        <w:rPr>
          <w:rFonts w:ascii="Times New Roman" w:hAnsi="Times New Roman"/>
          <w:sz w:val="22"/>
          <w:szCs w:val="22"/>
        </w:rPr>
        <w:t>Based on my knowledge, the financial statements, and other financial information included in this annual report, fairly present in all material respects the financial condition, results of operations and cash flows of the registrant as of, and for, the periods presented in this annual report;</w:t>
      </w:r>
    </w:p>
    <w:p w14:paraId="00A26C91" w14:textId="77777777" w:rsidR="002E7BFE" w:rsidRPr="000634A4" w:rsidRDefault="002E7BFE" w:rsidP="002E7BFE">
      <w:pPr>
        <w:pStyle w:val="Footer"/>
        <w:tabs>
          <w:tab w:val="clear" w:pos="4320"/>
          <w:tab w:val="clear" w:pos="8640"/>
          <w:tab w:val="left" w:pos="360"/>
        </w:tabs>
        <w:jc w:val="both"/>
        <w:rPr>
          <w:rFonts w:ascii="Times New Roman" w:hAnsi="Times New Roman"/>
          <w:sz w:val="22"/>
          <w:szCs w:val="22"/>
        </w:rPr>
      </w:pPr>
    </w:p>
    <w:p w14:paraId="722BAD4C" w14:textId="77777777" w:rsidR="002E7BFE" w:rsidRPr="000634A4" w:rsidRDefault="002E7BFE" w:rsidP="002E7BFE">
      <w:pPr>
        <w:pStyle w:val="Footer"/>
        <w:numPr>
          <w:ilvl w:val="2"/>
          <w:numId w:val="2"/>
        </w:numPr>
        <w:tabs>
          <w:tab w:val="clear" w:pos="4320"/>
          <w:tab w:val="clear" w:pos="8640"/>
          <w:tab w:val="left" w:pos="360"/>
        </w:tabs>
        <w:ind w:left="360" w:hanging="360"/>
        <w:jc w:val="both"/>
        <w:rPr>
          <w:rFonts w:ascii="Times New Roman" w:hAnsi="Times New Roman"/>
          <w:sz w:val="22"/>
          <w:szCs w:val="22"/>
        </w:rPr>
      </w:pPr>
      <w:r w:rsidRPr="000634A4">
        <w:rPr>
          <w:rFonts w:ascii="Times New Roman" w:hAnsi="Times New Roman"/>
          <w:sz w:val="22"/>
          <w:szCs w:val="22"/>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14:paraId="10A4266A" w14:textId="77777777" w:rsidR="002E7BFE" w:rsidRPr="000634A4" w:rsidRDefault="002E7BFE" w:rsidP="002E7BFE">
      <w:pPr>
        <w:pStyle w:val="Footer"/>
        <w:tabs>
          <w:tab w:val="clear" w:pos="4320"/>
          <w:tab w:val="clear" w:pos="8640"/>
        </w:tabs>
        <w:jc w:val="both"/>
        <w:rPr>
          <w:rFonts w:ascii="Times New Roman" w:hAnsi="Times New Roman"/>
          <w:sz w:val="22"/>
          <w:szCs w:val="22"/>
        </w:rPr>
      </w:pPr>
    </w:p>
    <w:p w14:paraId="04625B72" w14:textId="77777777" w:rsidR="002E7BFE" w:rsidRPr="000634A4" w:rsidRDefault="002E7BFE" w:rsidP="005F7716">
      <w:pPr>
        <w:pStyle w:val="Footer"/>
        <w:numPr>
          <w:ilvl w:val="0"/>
          <w:numId w:val="6"/>
        </w:numPr>
        <w:tabs>
          <w:tab w:val="clear" w:pos="4320"/>
          <w:tab w:val="clear" w:pos="8640"/>
        </w:tabs>
        <w:jc w:val="both"/>
        <w:rPr>
          <w:rFonts w:ascii="Times New Roman" w:hAnsi="Times New Roman"/>
          <w:sz w:val="22"/>
          <w:szCs w:val="22"/>
        </w:rPr>
      </w:pPr>
      <w:r w:rsidRPr="000634A4">
        <w:rPr>
          <w:rFonts w:ascii="Times New Roman" w:hAnsi="Times New Roman"/>
          <w:sz w:val="22"/>
          <w:szCs w:val="22"/>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annual report is being prepared;</w:t>
      </w:r>
    </w:p>
    <w:p w14:paraId="4C5ADAF6" w14:textId="77777777" w:rsidR="002E7BFE" w:rsidRPr="000634A4" w:rsidRDefault="002E7BFE" w:rsidP="002E7BFE">
      <w:pPr>
        <w:pStyle w:val="Footer"/>
        <w:tabs>
          <w:tab w:val="clear" w:pos="4320"/>
          <w:tab w:val="clear" w:pos="8640"/>
        </w:tabs>
        <w:ind w:left="720"/>
        <w:jc w:val="both"/>
        <w:rPr>
          <w:rFonts w:ascii="Times New Roman" w:hAnsi="Times New Roman"/>
          <w:sz w:val="22"/>
          <w:szCs w:val="22"/>
        </w:rPr>
      </w:pPr>
    </w:p>
    <w:p w14:paraId="548EF232" w14:textId="77777777" w:rsidR="002E7BFE" w:rsidRPr="000634A4" w:rsidRDefault="002E7BFE" w:rsidP="005F7716">
      <w:pPr>
        <w:numPr>
          <w:ilvl w:val="0"/>
          <w:numId w:val="6"/>
        </w:numPr>
        <w:shd w:val="clear" w:color="auto" w:fill="FFFFFF"/>
        <w:jc w:val="both"/>
        <w:rPr>
          <w:sz w:val="22"/>
          <w:szCs w:val="22"/>
        </w:rPr>
      </w:pPr>
      <w:r w:rsidRPr="000634A4">
        <w:rPr>
          <w:sz w:val="22"/>
          <w:szCs w:val="22"/>
        </w:rPr>
        <w:t xml:space="preserve">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 </w:t>
      </w:r>
    </w:p>
    <w:p w14:paraId="0AEE5869" w14:textId="77777777" w:rsidR="002E7BFE" w:rsidRPr="000634A4" w:rsidRDefault="002E7BFE" w:rsidP="002E7BFE">
      <w:pPr>
        <w:shd w:val="clear" w:color="auto" w:fill="FFFFFF"/>
        <w:jc w:val="both"/>
        <w:rPr>
          <w:sz w:val="22"/>
          <w:szCs w:val="22"/>
        </w:rPr>
      </w:pPr>
    </w:p>
    <w:p w14:paraId="74C26B5D" w14:textId="77777777" w:rsidR="002E7BFE" w:rsidRPr="000634A4" w:rsidRDefault="002E7BFE" w:rsidP="005F7716">
      <w:pPr>
        <w:numPr>
          <w:ilvl w:val="0"/>
          <w:numId w:val="6"/>
        </w:numPr>
        <w:shd w:val="clear" w:color="auto" w:fill="FFFFFF"/>
        <w:jc w:val="both"/>
        <w:rPr>
          <w:sz w:val="22"/>
          <w:szCs w:val="22"/>
        </w:rPr>
      </w:pPr>
      <w:r w:rsidRPr="000634A4">
        <w:rPr>
          <w:sz w:val="22"/>
          <w:szCs w:val="22"/>
        </w:rPr>
        <w:t xml:space="preserve">evaluated the effectiveness of the registrant’s disclosure controls and procedures and presented in this annual report our conclusions about the effectiveness of the disclosure controls and procedures, as of the end of the period covered by this report based on such evaluation; and </w:t>
      </w:r>
    </w:p>
    <w:p w14:paraId="619DC9F7" w14:textId="77777777" w:rsidR="002E7BFE" w:rsidRPr="000634A4" w:rsidRDefault="002E7BFE" w:rsidP="002E7BFE">
      <w:pPr>
        <w:shd w:val="clear" w:color="auto" w:fill="FFFFFF"/>
        <w:ind w:left="360"/>
        <w:jc w:val="both"/>
        <w:rPr>
          <w:sz w:val="22"/>
          <w:szCs w:val="22"/>
        </w:rPr>
      </w:pPr>
    </w:p>
    <w:p w14:paraId="7D59FA3E" w14:textId="77777777" w:rsidR="002E7BFE" w:rsidRPr="000634A4" w:rsidRDefault="002E7BFE" w:rsidP="005F7716">
      <w:pPr>
        <w:numPr>
          <w:ilvl w:val="0"/>
          <w:numId w:val="6"/>
        </w:numPr>
        <w:shd w:val="clear" w:color="auto" w:fill="FFFFFF"/>
        <w:jc w:val="both"/>
        <w:rPr>
          <w:sz w:val="22"/>
          <w:szCs w:val="22"/>
        </w:rPr>
      </w:pPr>
      <w:r w:rsidRPr="000634A4">
        <w:rPr>
          <w:sz w:val="22"/>
          <w:szCs w:val="22"/>
        </w:rPr>
        <w:t>disclosed in this report any change in the registrant’s internal control over financial reporting that occurred during the registrant’s fourth fiscal quarter that has materially affected, or is reasonably likely to materially affect, the registrant’s internal control over financial reporting. </w:t>
      </w:r>
    </w:p>
    <w:p w14:paraId="7FE223D7" w14:textId="77777777" w:rsidR="002E7BFE" w:rsidRPr="000634A4" w:rsidRDefault="002E7BFE" w:rsidP="002E7BFE">
      <w:pPr>
        <w:pStyle w:val="Footer"/>
        <w:tabs>
          <w:tab w:val="clear" w:pos="4320"/>
          <w:tab w:val="clear" w:pos="8640"/>
        </w:tabs>
        <w:ind w:left="360"/>
        <w:jc w:val="both"/>
        <w:rPr>
          <w:rFonts w:ascii="Times New Roman" w:hAnsi="Times New Roman"/>
          <w:sz w:val="22"/>
          <w:szCs w:val="22"/>
        </w:rPr>
      </w:pPr>
    </w:p>
    <w:p w14:paraId="2185F11C" w14:textId="77777777" w:rsidR="002E7BFE" w:rsidRPr="000634A4" w:rsidRDefault="002E7BFE" w:rsidP="002E7BFE">
      <w:pPr>
        <w:pStyle w:val="Footer"/>
        <w:tabs>
          <w:tab w:val="clear" w:pos="4320"/>
          <w:tab w:val="clear" w:pos="8640"/>
          <w:tab w:val="left" w:pos="360"/>
        </w:tabs>
        <w:ind w:left="360" w:hanging="360"/>
        <w:jc w:val="both"/>
        <w:rPr>
          <w:rFonts w:ascii="Times New Roman" w:hAnsi="Times New Roman"/>
          <w:sz w:val="22"/>
          <w:szCs w:val="22"/>
        </w:rPr>
      </w:pPr>
      <w:r w:rsidRPr="000634A4">
        <w:rPr>
          <w:rFonts w:ascii="Times New Roman" w:hAnsi="Times New Roman"/>
          <w:sz w:val="22"/>
          <w:szCs w:val="22"/>
        </w:rPr>
        <w:t>5.</w:t>
      </w:r>
      <w:r w:rsidRPr="000634A4">
        <w:rPr>
          <w:rFonts w:ascii="Times New Roman" w:hAnsi="Times New Roman"/>
          <w:sz w:val="22"/>
          <w:szCs w:val="22"/>
        </w:rPr>
        <w:tab/>
        <w:t>The registrant’s other certifying officers and I have disclosed, based on our most recent evaluation of internal controls over financial reporting, to the registrant’s auditors and the audit committee of registrant’s board of directors (or persons performing the equivalent function):</w:t>
      </w:r>
    </w:p>
    <w:p w14:paraId="2A7F7858" w14:textId="77777777" w:rsidR="002E7BFE" w:rsidRPr="000634A4" w:rsidRDefault="002E7BFE" w:rsidP="002E7BFE">
      <w:pPr>
        <w:pStyle w:val="Footer"/>
        <w:tabs>
          <w:tab w:val="clear" w:pos="4320"/>
          <w:tab w:val="clear" w:pos="8640"/>
        </w:tabs>
        <w:ind w:left="360"/>
        <w:jc w:val="both"/>
        <w:rPr>
          <w:rFonts w:ascii="Times New Roman" w:hAnsi="Times New Roman"/>
          <w:sz w:val="22"/>
          <w:szCs w:val="22"/>
        </w:rPr>
      </w:pPr>
    </w:p>
    <w:p w14:paraId="77389225" w14:textId="77777777" w:rsidR="002E7BFE" w:rsidRPr="000634A4" w:rsidRDefault="002E7BFE" w:rsidP="002E7BFE">
      <w:pPr>
        <w:pStyle w:val="Footer"/>
        <w:tabs>
          <w:tab w:val="clear" w:pos="4320"/>
          <w:tab w:val="clear" w:pos="8640"/>
          <w:tab w:val="left" w:pos="900"/>
        </w:tabs>
        <w:ind w:left="900" w:hanging="540"/>
        <w:jc w:val="both"/>
        <w:rPr>
          <w:rFonts w:ascii="Times New Roman" w:hAnsi="Times New Roman"/>
          <w:sz w:val="22"/>
          <w:szCs w:val="22"/>
        </w:rPr>
      </w:pPr>
      <w:r w:rsidRPr="000634A4">
        <w:rPr>
          <w:rFonts w:ascii="Times New Roman" w:hAnsi="Times New Roman"/>
          <w:sz w:val="22"/>
          <w:szCs w:val="22"/>
        </w:rPr>
        <w:t>a)</w:t>
      </w:r>
      <w:r w:rsidRPr="000634A4">
        <w:rPr>
          <w:rFonts w:ascii="Times New Roman" w:hAnsi="Times New Roman"/>
          <w:sz w:val="22"/>
          <w:szCs w:val="22"/>
        </w:rPr>
        <w:tab/>
        <w:t>all significant deficiencies and material weaknesses in the design or operation of internal control over financial reporting which are reasonably likely to adversely affect the registrant’s ability to record, process, summarize and report financial information; and</w:t>
      </w:r>
    </w:p>
    <w:p w14:paraId="504B8EE6" w14:textId="77777777" w:rsidR="002E7BFE" w:rsidRPr="000634A4" w:rsidRDefault="002E7BFE" w:rsidP="002E7BFE">
      <w:pPr>
        <w:pStyle w:val="Footer"/>
        <w:tabs>
          <w:tab w:val="clear" w:pos="4320"/>
          <w:tab w:val="clear" w:pos="8640"/>
        </w:tabs>
        <w:ind w:left="1260" w:hanging="540"/>
        <w:jc w:val="both"/>
        <w:rPr>
          <w:rFonts w:ascii="Times New Roman" w:hAnsi="Times New Roman"/>
          <w:sz w:val="22"/>
          <w:szCs w:val="22"/>
        </w:rPr>
      </w:pPr>
    </w:p>
    <w:p w14:paraId="7DB5F853" w14:textId="77777777" w:rsidR="002E7BFE" w:rsidRPr="000634A4" w:rsidRDefault="002E7BFE" w:rsidP="002E7BFE">
      <w:pPr>
        <w:pStyle w:val="Footer"/>
        <w:tabs>
          <w:tab w:val="clear" w:pos="4320"/>
          <w:tab w:val="clear" w:pos="8640"/>
          <w:tab w:val="left" w:pos="900"/>
        </w:tabs>
        <w:ind w:left="900" w:hanging="540"/>
        <w:jc w:val="both"/>
        <w:rPr>
          <w:rFonts w:ascii="Times New Roman" w:hAnsi="Times New Roman"/>
          <w:sz w:val="22"/>
          <w:szCs w:val="22"/>
        </w:rPr>
      </w:pPr>
      <w:r w:rsidRPr="000634A4">
        <w:rPr>
          <w:rFonts w:ascii="Times New Roman" w:hAnsi="Times New Roman"/>
          <w:sz w:val="22"/>
          <w:szCs w:val="22"/>
        </w:rPr>
        <w:t>b)</w:t>
      </w:r>
      <w:r w:rsidRPr="000634A4">
        <w:rPr>
          <w:rFonts w:ascii="Times New Roman" w:hAnsi="Times New Roman"/>
          <w:sz w:val="22"/>
          <w:szCs w:val="22"/>
        </w:rPr>
        <w:tab/>
        <w:t>any fraud, whether or not material, that involves management or other employees who have a significant role in the registrant’s internal control over financial reporting.</w:t>
      </w:r>
    </w:p>
    <w:p w14:paraId="2A9E6A5E" w14:textId="20F07438" w:rsidR="002E7BFE" w:rsidRPr="000634A4" w:rsidRDefault="002E7BFE" w:rsidP="002E7BFE">
      <w:pPr>
        <w:pStyle w:val="Footer"/>
        <w:tabs>
          <w:tab w:val="clear" w:pos="4320"/>
          <w:tab w:val="clear" w:pos="8640"/>
        </w:tabs>
        <w:rPr>
          <w:rFonts w:ascii="Times New Roman" w:hAnsi="Times New Roman"/>
          <w:sz w:val="22"/>
          <w:szCs w:val="22"/>
        </w:rPr>
      </w:pPr>
    </w:p>
    <w:p w14:paraId="43A73F1E" w14:textId="77777777" w:rsidR="005B7DEC" w:rsidRPr="000634A4" w:rsidRDefault="005B7DEC" w:rsidP="002E7BFE">
      <w:pPr>
        <w:pStyle w:val="Footer"/>
        <w:tabs>
          <w:tab w:val="clear" w:pos="4320"/>
          <w:tab w:val="clear" w:pos="8640"/>
        </w:tabs>
        <w:rPr>
          <w:rFonts w:ascii="Times New Roman" w:hAnsi="Times New Roman"/>
          <w:sz w:val="22"/>
          <w:szCs w:val="22"/>
        </w:rPr>
      </w:pPr>
    </w:p>
    <w:p w14:paraId="1A635405" w14:textId="56B34FF8" w:rsidR="002E7BFE" w:rsidRPr="000634A4" w:rsidRDefault="002E7BFE" w:rsidP="002E7BFE">
      <w:pPr>
        <w:pStyle w:val="Footer"/>
        <w:tabs>
          <w:tab w:val="clear" w:pos="4320"/>
          <w:tab w:val="clear" w:pos="8640"/>
        </w:tabs>
        <w:rPr>
          <w:rFonts w:ascii="Times New Roman" w:hAnsi="Times New Roman"/>
          <w:sz w:val="22"/>
          <w:szCs w:val="22"/>
        </w:rPr>
      </w:pPr>
      <w:r w:rsidRPr="000634A4">
        <w:rPr>
          <w:rFonts w:ascii="Times New Roman" w:hAnsi="Times New Roman"/>
          <w:sz w:val="22"/>
          <w:szCs w:val="22"/>
        </w:rPr>
        <w:t xml:space="preserve">Dated:  </w:t>
      </w:r>
      <w:r w:rsidR="005B3C47" w:rsidRPr="000634A4">
        <w:rPr>
          <w:rFonts w:ascii="Times New Roman" w:hAnsi="Times New Roman"/>
          <w:sz w:val="22"/>
          <w:szCs w:val="22"/>
        </w:rPr>
        <w:t>February 23, 2023</w:t>
      </w:r>
    </w:p>
    <w:tbl>
      <w:tblPr>
        <w:tblW w:w="0" w:type="auto"/>
        <w:tblInd w:w="5418" w:type="dxa"/>
        <w:tblLook w:val="0000" w:firstRow="0" w:lastRow="0" w:firstColumn="0" w:lastColumn="0" w:noHBand="0" w:noVBand="0"/>
      </w:tblPr>
      <w:tblGrid>
        <w:gridCol w:w="3330"/>
      </w:tblGrid>
      <w:tr w:rsidR="009E3590" w:rsidRPr="000634A4" w14:paraId="3375CC83" w14:textId="77777777" w:rsidTr="00CE6C8E">
        <w:tc>
          <w:tcPr>
            <w:tcW w:w="3330" w:type="dxa"/>
            <w:tcBorders>
              <w:bottom w:val="single" w:sz="4" w:space="0" w:color="auto"/>
            </w:tcBorders>
          </w:tcPr>
          <w:p w14:paraId="27CE6141" w14:textId="55C148A1" w:rsidR="002E7BFE" w:rsidRPr="000634A4" w:rsidRDefault="002E7BFE" w:rsidP="00CE6C8E">
            <w:pPr>
              <w:tabs>
                <w:tab w:val="left" w:pos="162"/>
                <w:tab w:val="left" w:pos="6930"/>
              </w:tabs>
              <w:rPr>
                <w:sz w:val="22"/>
                <w:szCs w:val="22"/>
              </w:rPr>
            </w:pPr>
            <w:r w:rsidRPr="000634A4">
              <w:rPr>
                <w:sz w:val="22"/>
                <w:szCs w:val="22"/>
              </w:rPr>
              <w:t xml:space="preserve">/s/ </w:t>
            </w:r>
            <w:r w:rsidR="000B4CCD" w:rsidRPr="000634A4">
              <w:rPr>
                <w:sz w:val="22"/>
                <w:szCs w:val="22"/>
              </w:rPr>
              <w:t>Ma</w:t>
            </w:r>
            <w:r w:rsidR="00991A07" w:rsidRPr="000634A4">
              <w:rPr>
                <w:sz w:val="22"/>
                <w:szCs w:val="22"/>
              </w:rPr>
              <w:t>rissa</w:t>
            </w:r>
            <w:r w:rsidR="000B4CCD" w:rsidRPr="000634A4">
              <w:rPr>
                <w:sz w:val="22"/>
                <w:szCs w:val="22"/>
              </w:rPr>
              <w:t xml:space="preserve"> </w:t>
            </w:r>
            <w:r w:rsidR="00991A07" w:rsidRPr="000634A4">
              <w:rPr>
                <w:sz w:val="22"/>
                <w:szCs w:val="22"/>
              </w:rPr>
              <w:t>B</w:t>
            </w:r>
            <w:r w:rsidR="00046B5B" w:rsidRPr="000634A4">
              <w:rPr>
                <w:sz w:val="22"/>
                <w:szCs w:val="22"/>
              </w:rPr>
              <w:t>.</w:t>
            </w:r>
            <w:r w:rsidR="000B4CCD" w:rsidRPr="000634A4">
              <w:rPr>
                <w:sz w:val="22"/>
                <w:szCs w:val="22"/>
              </w:rPr>
              <w:t xml:space="preserve"> </w:t>
            </w:r>
            <w:r w:rsidR="00991A07" w:rsidRPr="000634A4">
              <w:rPr>
                <w:sz w:val="22"/>
                <w:szCs w:val="22"/>
              </w:rPr>
              <w:t>Espineli</w:t>
            </w:r>
          </w:p>
        </w:tc>
      </w:tr>
      <w:tr w:rsidR="009E3590" w:rsidRPr="000634A4" w14:paraId="5896278A" w14:textId="77777777" w:rsidTr="00CE6C8E">
        <w:tc>
          <w:tcPr>
            <w:tcW w:w="3330" w:type="dxa"/>
            <w:tcBorders>
              <w:top w:val="single" w:sz="4" w:space="0" w:color="auto"/>
            </w:tcBorders>
          </w:tcPr>
          <w:p w14:paraId="2562A02A" w14:textId="77777777" w:rsidR="002E7BFE" w:rsidRDefault="000B4CCD" w:rsidP="00CE6C8E">
            <w:pPr>
              <w:tabs>
                <w:tab w:val="left" w:pos="900"/>
                <w:tab w:val="left" w:pos="6930"/>
              </w:tabs>
              <w:rPr>
                <w:sz w:val="22"/>
                <w:szCs w:val="22"/>
              </w:rPr>
            </w:pPr>
            <w:r w:rsidRPr="000634A4">
              <w:rPr>
                <w:sz w:val="22"/>
                <w:szCs w:val="22"/>
              </w:rPr>
              <w:t>Mar</w:t>
            </w:r>
            <w:r w:rsidR="00991A07" w:rsidRPr="000634A4">
              <w:rPr>
                <w:sz w:val="22"/>
                <w:szCs w:val="22"/>
              </w:rPr>
              <w:t>issa</w:t>
            </w:r>
            <w:r w:rsidRPr="000634A4">
              <w:rPr>
                <w:sz w:val="22"/>
                <w:szCs w:val="22"/>
              </w:rPr>
              <w:t xml:space="preserve"> </w:t>
            </w:r>
            <w:r w:rsidR="00991A07" w:rsidRPr="000634A4">
              <w:rPr>
                <w:sz w:val="22"/>
                <w:szCs w:val="22"/>
              </w:rPr>
              <w:t>B</w:t>
            </w:r>
            <w:r w:rsidRPr="000634A4">
              <w:rPr>
                <w:sz w:val="22"/>
                <w:szCs w:val="22"/>
              </w:rPr>
              <w:t xml:space="preserve">. </w:t>
            </w:r>
            <w:r w:rsidR="00991A07" w:rsidRPr="000634A4">
              <w:rPr>
                <w:sz w:val="22"/>
                <w:szCs w:val="22"/>
              </w:rPr>
              <w:t>Espineli</w:t>
            </w:r>
          </w:p>
          <w:p w14:paraId="49338585" w14:textId="45C4DD68" w:rsidR="00F86573" w:rsidRPr="000634A4" w:rsidRDefault="00F86573" w:rsidP="00CE6C8E">
            <w:pPr>
              <w:tabs>
                <w:tab w:val="left" w:pos="900"/>
                <w:tab w:val="left" w:pos="6930"/>
              </w:tabs>
              <w:rPr>
                <w:sz w:val="22"/>
                <w:szCs w:val="22"/>
              </w:rPr>
            </w:pPr>
            <w:r>
              <w:rPr>
                <w:sz w:val="22"/>
                <w:szCs w:val="22"/>
              </w:rPr>
              <w:t>Interim Chief Financial Officer</w:t>
            </w:r>
          </w:p>
        </w:tc>
      </w:tr>
    </w:tbl>
    <w:p w14:paraId="7D162A4B" w14:textId="77777777" w:rsidR="005B7DEC" w:rsidRPr="000634A4" w:rsidRDefault="005B7DEC" w:rsidP="00FD5849">
      <w:pPr>
        <w:tabs>
          <w:tab w:val="left" w:pos="7650"/>
        </w:tabs>
        <w:rPr>
          <w:b/>
          <w:bCs/>
          <w:sz w:val="22"/>
          <w:szCs w:val="22"/>
        </w:rPr>
      </w:pPr>
    </w:p>
    <w:p w14:paraId="6E581017" w14:textId="75ECC02C" w:rsidR="00FD5849" w:rsidRPr="000634A4" w:rsidRDefault="005B7DEC" w:rsidP="00FD5849">
      <w:pPr>
        <w:tabs>
          <w:tab w:val="left" w:pos="7650"/>
        </w:tabs>
        <w:rPr>
          <w:b/>
          <w:bCs/>
          <w:sz w:val="22"/>
          <w:szCs w:val="22"/>
        </w:rPr>
      </w:pPr>
      <w:r w:rsidRPr="000634A4">
        <w:rPr>
          <w:sz w:val="22"/>
          <w:szCs w:val="22"/>
        </w:rPr>
        <w:tab/>
      </w:r>
      <w:r w:rsidR="00FD5849" w:rsidRPr="000634A4">
        <w:rPr>
          <w:sz w:val="22"/>
          <w:szCs w:val="22"/>
        </w:rPr>
        <w:tab/>
      </w:r>
      <w:r w:rsidR="00FD5849" w:rsidRPr="000634A4">
        <w:rPr>
          <w:b/>
          <w:bCs/>
          <w:sz w:val="22"/>
          <w:szCs w:val="22"/>
        </w:rPr>
        <w:t>Exhibit 32.1</w:t>
      </w:r>
    </w:p>
    <w:p w14:paraId="436E2230" w14:textId="77777777" w:rsidR="00FD5849" w:rsidRPr="000634A4" w:rsidRDefault="00FD5849" w:rsidP="00FD5849">
      <w:pPr>
        <w:tabs>
          <w:tab w:val="left" w:pos="7650"/>
        </w:tabs>
        <w:rPr>
          <w:sz w:val="22"/>
          <w:szCs w:val="22"/>
        </w:rPr>
      </w:pPr>
    </w:p>
    <w:p w14:paraId="73227190" w14:textId="77777777" w:rsidR="00FD5849" w:rsidRPr="000634A4" w:rsidRDefault="00FD5849" w:rsidP="00FD5849">
      <w:pPr>
        <w:tabs>
          <w:tab w:val="left" w:pos="7650"/>
        </w:tabs>
        <w:rPr>
          <w:sz w:val="22"/>
          <w:szCs w:val="22"/>
        </w:rPr>
      </w:pPr>
    </w:p>
    <w:p w14:paraId="0B6B9142" w14:textId="77777777" w:rsidR="00FD5849" w:rsidRPr="000634A4" w:rsidRDefault="00FD5849" w:rsidP="00FD5849">
      <w:pPr>
        <w:tabs>
          <w:tab w:val="left" w:pos="7650"/>
        </w:tabs>
        <w:rPr>
          <w:sz w:val="22"/>
          <w:szCs w:val="22"/>
        </w:rPr>
      </w:pPr>
    </w:p>
    <w:p w14:paraId="38B052D7" w14:textId="77777777" w:rsidR="00FD5849" w:rsidRPr="000634A4" w:rsidRDefault="00FD5849" w:rsidP="00FD5849">
      <w:pPr>
        <w:tabs>
          <w:tab w:val="left" w:pos="7650"/>
        </w:tabs>
        <w:jc w:val="center"/>
        <w:rPr>
          <w:sz w:val="22"/>
          <w:szCs w:val="22"/>
        </w:rPr>
      </w:pPr>
      <w:r w:rsidRPr="000634A4">
        <w:rPr>
          <w:sz w:val="22"/>
          <w:szCs w:val="22"/>
        </w:rPr>
        <w:t>CERTIFICATION PURSUANT TO</w:t>
      </w:r>
    </w:p>
    <w:p w14:paraId="5F66CEFB" w14:textId="77777777" w:rsidR="00FD5849" w:rsidRPr="000634A4" w:rsidRDefault="00FD5849" w:rsidP="00FD5849">
      <w:pPr>
        <w:tabs>
          <w:tab w:val="left" w:pos="7650"/>
        </w:tabs>
        <w:jc w:val="center"/>
        <w:rPr>
          <w:sz w:val="22"/>
          <w:szCs w:val="22"/>
        </w:rPr>
      </w:pPr>
      <w:r w:rsidRPr="000634A4">
        <w:rPr>
          <w:sz w:val="22"/>
          <w:szCs w:val="22"/>
        </w:rPr>
        <w:t>18 U.S.C. SECTION 1350,</w:t>
      </w:r>
    </w:p>
    <w:p w14:paraId="061F5AF7" w14:textId="77777777" w:rsidR="00FD5849" w:rsidRPr="000634A4" w:rsidRDefault="00FD5849" w:rsidP="00FD5849">
      <w:pPr>
        <w:tabs>
          <w:tab w:val="left" w:pos="7650"/>
        </w:tabs>
        <w:jc w:val="center"/>
        <w:rPr>
          <w:sz w:val="22"/>
          <w:szCs w:val="22"/>
        </w:rPr>
      </w:pPr>
      <w:r w:rsidRPr="000634A4">
        <w:rPr>
          <w:sz w:val="22"/>
          <w:szCs w:val="22"/>
        </w:rPr>
        <w:t>AS ADOPTED PURSUANT TO</w:t>
      </w:r>
    </w:p>
    <w:p w14:paraId="7BF158CB" w14:textId="77777777" w:rsidR="00FD5849" w:rsidRPr="000634A4" w:rsidRDefault="00FD5849" w:rsidP="00FD5849">
      <w:pPr>
        <w:tabs>
          <w:tab w:val="left" w:pos="7650"/>
        </w:tabs>
        <w:jc w:val="center"/>
        <w:rPr>
          <w:sz w:val="22"/>
          <w:szCs w:val="22"/>
        </w:rPr>
      </w:pPr>
      <w:r w:rsidRPr="000634A4">
        <w:rPr>
          <w:sz w:val="22"/>
          <w:szCs w:val="22"/>
        </w:rPr>
        <w:t>SECTION 906 OF THE SARBANES-OXLEY ACT OF 2002</w:t>
      </w:r>
    </w:p>
    <w:p w14:paraId="74E8643F" w14:textId="77777777" w:rsidR="00FD5849" w:rsidRPr="000634A4" w:rsidRDefault="00FD5849" w:rsidP="00FD5849">
      <w:pPr>
        <w:tabs>
          <w:tab w:val="left" w:pos="7650"/>
        </w:tabs>
        <w:rPr>
          <w:sz w:val="22"/>
          <w:szCs w:val="22"/>
        </w:rPr>
      </w:pPr>
    </w:p>
    <w:p w14:paraId="125AB283" w14:textId="77777777" w:rsidR="00FD5849" w:rsidRPr="000634A4" w:rsidRDefault="00FD5849" w:rsidP="00FD5849">
      <w:pPr>
        <w:tabs>
          <w:tab w:val="left" w:pos="7650"/>
        </w:tabs>
        <w:rPr>
          <w:sz w:val="22"/>
          <w:szCs w:val="22"/>
        </w:rPr>
      </w:pPr>
    </w:p>
    <w:p w14:paraId="3C7EF52D" w14:textId="651BD01A" w:rsidR="00FD5849" w:rsidRPr="000634A4" w:rsidRDefault="00FD5849" w:rsidP="00FD5849">
      <w:pPr>
        <w:tabs>
          <w:tab w:val="left" w:pos="900"/>
          <w:tab w:val="left" w:pos="7650"/>
        </w:tabs>
        <w:jc w:val="both"/>
        <w:rPr>
          <w:sz w:val="22"/>
          <w:szCs w:val="22"/>
        </w:rPr>
      </w:pPr>
      <w:r w:rsidRPr="000634A4">
        <w:rPr>
          <w:sz w:val="22"/>
          <w:szCs w:val="22"/>
        </w:rPr>
        <w:tab/>
        <w:t xml:space="preserve">In connection with the Annual Report of Innodata Inc. (the “Company”) on Form 10-K for the year ended December 31, </w:t>
      </w:r>
      <w:r w:rsidR="00472186" w:rsidRPr="000634A4">
        <w:rPr>
          <w:sz w:val="22"/>
          <w:szCs w:val="22"/>
        </w:rPr>
        <w:t xml:space="preserve">2022 </w:t>
      </w:r>
      <w:r w:rsidRPr="000634A4">
        <w:rPr>
          <w:sz w:val="22"/>
          <w:szCs w:val="22"/>
        </w:rPr>
        <w:t xml:space="preserve">as filed with the Securities and Exchange Commission on the date hereof (the “Report”), I, Jack </w:t>
      </w:r>
      <w:r w:rsidR="00043BA6" w:rsidRPr="000634A4">
        <w:rPr>
          <w:sz w:val="22"/>
          <w:szCs w:val="22"/>
        </w:rPr>
        <w:t xml:space="preserve">S. </w:t>
      </w:r>
      <w:r w:rsidRPr="000634A4">
        <w:rPr>
          <w:sz w:val="22"/>
          <w:szCs w:val="22"/>
        </w:rPr>
        <w:t>Abuhoff, Chief Executive Officer and President of the Company, certify, pursuant to 18 U.S.C. §1350, as adopted pursuant to §906 of the Sarbanes-Oxley Act of 2002, that to the best of my knowledge:</w:t>
      </w:r>
    </w:p>
    <w:p w14:paraId="6D9091EB" w14:textId="77777777" w:rsidR="00FD5849" w:rsidRPr="000634A4" w:rsidRDefault="00FD5849" w:rsidP="00FD5849">
      <w:pPr>
        <w:tabs>
          <w:tab w:val="left" w:pos="900"/>
          <w:tab w:val="left" w:pos="7650"/>
        </w:tabs>
        <w:rPr>
          <w:sz w:val="22"/>
          <w:szCs w:val="22"/>
        </w:rPr>
      </w:pPr>
    </w:p>
    <w:p w14:paraId="5E3AC4A7" w14:textId="77777777" w:rsidR="00FD5849" w:rsidRPr="000634A4" w:rsidRDefault="00FD5849" w:rsidP="00FD5849">
      <w:pPr>
        <w:numPr>
          <w:ilvl w:val="0"/>
          <w:numId w:val="3"/>
        </w:numPr>
        <w:tabs>
          <w:tab w:val="left" w:pos="900"/>
          <w:tab w:val="left" w:pos="7650"/>
        </w:tabs>
        <w:ind w:right="540"/>
        <w:rPr>
          <w:sz w:val="22"/>
          <w:szCs w:val="22"/>
        </w:rPr>
      </w:pPr>
      <w:r w:rsidRPr="000634A4">
        <w:rPr>
          <w:sz w:val="22"/>
          <w:szCs w:val="22"/>
        </w:rPr>
        <w:t xml:space="preserve">the Report fully complies with the requirements of section 13(a) or 15(d) of the Securities Exchange Act of 1934; and </w:t>
      </w:r>
    </w:p>
    <w:p w14:paraId="0F97243F" w14:textId="77777777" w:rsidR="00FD5849" w:rsidRPr="000634A4" w:rsidRDefault="00FD5849" w:rsidP="00FD5849">
      <w:pPr>
        <w:tabs>
          <w:tab w:val="left" w:pos="900"/>
          <w:tab w:val="left" w:pos="7650"/>
        </w:tabs>
        <w:ind w:right="540"/>
        <w:rPr>
          <w:sz w:val="22"/>
          <w:szCs w:val="22"/>
        </w:rPr>
      </w:pPr>
    </w:p>
    <w:p w14:paraId="345635BE" w14:textId="77777777" w:rsidR="00FD5849" w:rsidRPr="000634A4" w:rsidRDefault="00FD5849" w:rsidP="00FD5849">
      <w:pPr>
        <w:numPr>
          <w:ilvl w:val="0"/>
          <w:numId w:val="3"/>
        </w:numPr>
        <w:tabs>
          <w:tab w:val="left" w:pos="900"/>
          <w:tab w:val="left" w:pos="7650"/>
        </w:tabs>
        <w:ind w:right="540"/>
        <w:rPr>
          <w:sz w:val="22"/>
          <w:szCs w:val="22"/>
        </w:rPr>
      </w:pPr>
      <w:r w:rsidRPr="000634A4">
        <w:rPr>
          <w:sz w:val="22"/>
          <w:szCs w:val="22"/>
        </w:rPr>
        <w:t>the information contained in the Report fairly presents, in all material respects, the financial condition and results of operations of the Company.</w:t>
      </w:r>
    </w:p>
    <w:p w14:paraId="6A587DFB" w14:textId="77777777" w:rsidR="00FD5849" w:rsidRPr="000634A4" w:rsidRDefault="00FD5849" w:rsidP="00FD5849">
      <w:pPr>
        <w:tabs>
          <w:tab w:val="left" w:pos="900"/>
          <w:tab w:val="left" w:pos="7650"/>
        </w:tabs>
        <w:ind w:left="540" w:right="540"/>
        <w:rPr>
          <w:sz w:val="22"/>
          <w:szCs w:val="22"/>
        </w:rPr>
      </w:pPr>
    </w:p>
    <w:p w14:paraId="5FE5FCB8" w14:textId="77777777" w:rsidR="00FD5849" w:rsidRPr="000634A4" w:rsidRDefault="00FD5849" w:rsidP="00FD5849">
      <w:pPr>
        <w:tabs>
          <w:tab w:val="left" w:pos="900"/>
          <w:tab w:val="left" w:pos="6930"/>
        </w:tabs>
        <w:ind w:left="540"/>
        <w:rPr>
          <w:sz w:val="22"/>
          <w:szCs w:val="22"/>
        </w:rPr>
      </w:pPr>
      <w:r w:rsidRPr="000634A4">
        <w:rPr>
          <w:sz w:val="22"/>
          <w:szCs w:val="22"/>
        </w:rPr>
        <w:tab/>
      </w:r>
    </w:p>
    <w:tbl>
      <w:tblPr>
        <w:tblW w:w="0" w:type="auto"/>
        <w:tblInd w:w="5058" w:type="dxa"/>
        <w:tblLook w:val="0000" w:firstRow="0" w:lastRow="0" w:firstColumn="0" w:lastColumn="0" w:noHBand="0" w:noVBand="0"/>
      </w:tblPr>
      <w:tblGrid>
        <w:gridCol w:w="3960"/>
      </w:tblGrid>
      <w:tr w:rsidR="009E3590" w:rsidRPr="000634A4" w14:paraId="15884BB6" w14:textId="77777777" w:rsidTr="00D03196">
        <w:tc>
          <w:tcPr>
            <w:tcW w:w="3960" w:type="dxa"/>
            <w:tcBorders>
              <w:bottom w:val="single" w:sz="4" w:space="0" w:color="auto"/>
            </w:tcBorders>
          </w:tcPr>
          <w:p w14:paraId="151D0653" w14:textId="47015495" w:rsidR="00FD5849" w:rsidRPr="000634A4" w:rsidRDefault="00FD5849" w:rsidP="00D03196">
            <w:pPr>
              <w:tabs>
                <w:tab w:val="left" w:pos="162"/>
                <w:tab w:val="left" w:pos="1242"/>
              </w:tabs>
              <w:rPr>
                <w:sz w:val="22"/>
                <w:szCs w:val="22"/>
              </w:rPr>
            </w:pPr>
            <w:r w:rsidRPr="000634A4">
              <w:rPr>
                <w:sz w:val="22"/>
                <w:szCs w:val="22"/>
              </w:rPr>
              <w:t xml:space="preserve">/s/ Jack </w:t>
            </w:r>
            <w:r w:rsidR="00043BA6" w:rsidRPr="000634A4">
              <w:rPr>
                <w:sz w:val="22"/>
                <w:szCs w:val="22"/>
              </w:rPr>
              <w:t xml:space="preserve">S. </w:t>
            </w:r>
            <w:r w:rsidRPr="000634A4">
              <w:rPr>
                <w:sz w:val="22"/>
                <w:szCs w:val="22"/>
              </w:rPr>
              <w:t>Abuhoff</w:t>
            </w:r>
          </w:p>
        </w:tc>
      </w:tr>
      <w:tr w:rsidR="009E3590" w:rsidRPr="000634A4" w14:paraId="6684D3EB" w14:textId="77777777" w:rsidTr="00D03196">
        <w:tc>
          <w:tcPr>
            <w:tcW w:w="3960" w:type="dxa"/>
            <w:tcBorders>
              <w:top w:val="single" w:sz="4" w:space="0" w:color="auto"/>
            </w:tcBorders>
          </w:tcPr>
          <w:p w14:paraId="28CD4961" w14:textId="03351B4D" w:rsidR="00FD5849" w:rsidRPr="000634A4" w:rsidRDefault="00FD5849" w:rsidP="00D03196">
            <w:pPr>
              <w:tabs>
                <w:tab w:val="left" w:pos="900"/>
                <w:tab w:val="left" w:pos="6930"/>
              </w:tabs>
              <w:rPr>
                <w:sz w:val="22"/>
                <w:szCs w:val="22"/>
              </w:rPr>
            </w:pPr>
            <w:r w:rsidRPr="000634A4">
              <w:rPr>
                <w:sz w:val="22"/>
                <w:szCs w:val="22"/>
              </w:rPr>
              <w:t xml:space="preserve">Jack </w:t>
            </w:r>
            <w:r w:rsidR="00043BA6" w:rsidRPr="000634A4">
              <w:rPr>
                <w:sz w:val="22"/>
                <w:szCs w:val="22"/>
              </w:rPr>
              <w:t xml:space="preserve">S. </w:t>
            </w:r>
            <w:r w:rsidRPr="000634A4">
              <w:rPr>
                <w:sz w:val="22"/>
                <w:szCs w:val="22"/>
              </w:rPr>
              <w:t xml:space="preserve">Abuhoff </w:t>
            </w:r>
          </w:p>
        </w:tc>
      </w:tr>
      <w:tr w:rsidR="009E3590" w:rsidRPr="000634A4" w14:paraId="41B384C4" w14:textId="77777777" w:rsidTr="00D03196">
        <w:tc>
          <w:tcPr>
            <w:tcW w:w="3960" w:type="dxa"/>
          </w:tcPr>
          <w:p w14:paraId="6D611D72" w14:textId="77777777" w:rsidR="00FD5849" w:rsidRPr="000634A4" w:rsidRDefault="00FD5849" w:rsidP="00D03196">
            <w:pPr>
              <w:tabs>
                <w:tab w:val="left" w:pos="900"/>
                <w:tab w:val="left" w:pos="6930"/>
              </w:tabs>
              <w:rPr>
                <w:sz w:val="22"/>
                <w:szCs w:val="22"/>
              </w:rPr>
            </w:pPr>
            <w:r w:rsidRPr="000634A4">
              <w:rPr>
                <w:sz w:val="22"/>
                <w:szCs w:val="22"/>
              </w:rPr>
              <w:t>Chief Executive Officer and President</w:t>
            </w:r>
          </w:p>
        </w:tc>
      </w:tr>
      <w:tr w:rsidR="00FD5849" w:rsidRPr="000634A4" w14:paraId="01898284" w14:textId="77777777" w:rsidTr="00D03196">
        <w:tc>
          <w:tcPr>
            <w:tcW w:w="3960" w:type="dxa"/>
          </w:tcPr>
          <w:p w14:paraId="1EF931D7" w14:textId="77777777" w:rsidR="00FD5849" w:rsidRPr="000634A4" w:rsidRDefault="00FD5849" w:rsidP="00D03196">
            <w:pPr>
              <w:tabs>
                <w:tab w:val="left" w:pos="900"/>
                <w:tab w:val="left" w:pos="6930"/>
              </w:tabs>
              <w:rPr>
                <w:sz w:val="22"/>
                <w:szCs w:val="22"/>
              </w:rPr>
            </w:pPr>
          </w:p>
          <w:p w14:paraId="58F9C864" w14:textId="76E68A57" w:rsidR="00FD5849" w:rsidRPr="000634A4" w:rsidRDefault="005B3C47" w:rsidP="00D03196">
            <w:pPr>
              <w:tabs>
                <w:tab w:val="left" w:pos="900"/>
                <w:tab w:val="left" w:pos="6930"/>
              </w:tabs>
              <w:rPr>
                <w:sz w:val="22"/>
                <w:szCs w:val="22"/>
              </w:rPr>
            </w:pPr>
            <w:r w:rsidRPr="000634A4">
              <w:rPr>
                <w:sz w:val="22"/>
                <w:szCs w:val="22"/>
              </w:rPr>
              <w:t>February 23, 2023</w:t>
            </w:r>
          </w:p>
        </w:tc>
      </w:tr>
    </w:tbl>
    <w:p w14:paraId="1360C1CC" w14:textId="77777777" w:rsidR="00FD5849" w:rsidRPr="000634A4" w:rsidRDefault="00FD5849">
      <w:pPr>
        <w:rPr>
          <w:sz w:val="22"/>
          <w:szCs w:val="22"/>
        </w:rPr>
      </w:pPr>
    </w:p>
    <w:p w14:paraId="01F7594D" w14:textId="77777777" w:rsidR="00FD5849" w:rsidRPr="000634A4" w:rsidRDefault="00FD5849">
      <w:pPr>
        <w:rPr>
          <w:sz w:val="22"/>
          <w:szCs w:val="22"/>
        </w:rPr>
      </w:pPr>
    </w:p>
    <w:p w14:paraId="092981B5" w14:textId="77777777" w:rsidR="00FD5849" w:rsidRPr="000634A4" w:rsidRDefault="00FD5849">
      <w:pPr>
        <w:rPr>
          <w:sz w:val="22"/>
          <w:szCs w:val="22"/>
        </w:rPr>
      </w:pPr>
    </w:p>
    <w:p w14:paraId="1861A45C" w14:textId="77777777" w:rsidR="00FD5849" w:rsidRPr="000634A4" w:rsidRDefault="00FD5849">
      <w:pPr>
        <w:rPr>
          <w:sz w:val="22"/>
          <w:szCs w:val="22"/>
        </w:rPr>
      </w:pPr>
    </w:p>
    <w:p w14:paraId="74EB1498" w14:textId="77777777" w:rsidR="00FD5849" w:rsidRPr="000634A4" w:rsidRDefault="00FD5849">
      <w:pPr>
        <w:rPr>
          <w:sz w:val="22"/>
          <w:szCs w:val="22"/>
        </w:rPr>
      </w:pPr>
    </w:p>
    <w:p w14:paraId="798206D9" w14:textId="77777777" w:rsidR="00FD5849" w:rsidRPr="000634A4" w:rsidRDefault="00FD5849">
      <w:pPr>
        <w:rPr>
          <w:sz w:val="22"/>
          <w:szCs w:val="22"/>
        </w:rPr>
      </w:pPr>
    </w:p>
    <w:p w14:paraId="0C4DA7F3" w14:textId="77777777" w:rsidR="00FD5849" w:rsidRPr="000634A4" w:rsidRDefault="00FD5849">
      <w:pPr>
        <w:rPr>
          <w:sz w:val="22"/>
          <w:szCs w:val="22"/>
        </w:rPr>
      </w:pPr>
    </w:p>
    <w:p w14:paraId="1A30C529" w14:textId="77777777" w:rsidR="00FD5849" w:rsidRPr="000634A4" w:rsidRDefault="00FD5849">
      <w:pPr>
        <w:rPr>
          <w:sz w:val="22"/>
          <w:szCs w:val="22"/>
        </w:rPr>
      </w:pPr>
    </w:p>
    <w:p w14:paraId="5C086BFE" w14:textId="77777777" w:rsidR="00FD5849" w:rsidRPr="000634A4" w:rsidRDefault="00FD5849">
      <w:pPr>
        <w:rPr>
          <w:sz w:val="22"/>
          <w:szCs w:val="22"/>
        </w:rPr>
      </w:pPr>
    </w:p>
    <w:p w14:paraId="4A23CEA8" w14:textId="77777777" w:rsidR="00FD5849" w:rsidRPr="000634A4" w:rsidRDefault="00FD5849">
      <w:pPr>
        <w:rPr>
          <w:sz w:val="22"/>
          <w:szCs w:val="22"/>
        </w:rPr>
      </w:pPr>
    </w:p>
    <w:p w14:paraId="5ABBE5A3" w14:textId="77777777" w:rsidR="00FD5849" w:rsidRPr="000634A4" w:rsidRDefault="00FD5849">
      <w:pPr>
        <w:rPr>
          <w:sz w:val="22"/>
          <w:szCs w:val="22"/>
        </w:rPr>
      </w:pPr>
    </w:p>
    <w:p w14:paraId="7565798D" w14:textId="77777777" w:rsidR="00FD5849" w:rsidRPr="000634A4" w:rsidRDefault="00FD5849">
      <w:pPr>
        <w:rPr>
          <w:sz w:val="22"/>
          <w:szCs w:val="22"/>
        </w:rPr>
      </w:pPr>
    </w:p>
    <w:p w14:paraId="50F5002C" w14:textId="77777777" w:rsidR="00FD5849" w:rsidRPr="000634A4" w:rsidRDefault="00FD5849">
      <w:pPr>
        <w:rPr>
          <w:sz w:val="22"/>
          <w:szCs w:val="22"/>
        </w:rPr>
      </w:pPr>
    </w:p>
    <w:p w14:paraId="62146BD4" w14:textId="77777777" w:rsidR="00FD5849" w:rsidRPr="000634A4" w:rsidRDefault="00FD5849">
      <w:pPr>
        <w:rPr>
          <w:sz w:val="22"/>
          <w:szCs w:val="22"/>
        </w:rPr>
      </w:pPr>
    </w:p>
    <w:p w14:paraId="447987AC" w14:textId="77777777" w:rsidR="00FD5849" w:rsidRPr="000634A4" w:rsidRDefault="00FD5849">
      <w:pPr>
        <w:rPr>
          <w:sz w:val="22"/>
          <w:szCs w:val="22"/>
        </w:rPr>
      </w:pPr>
    </w:p>
    <w:p w14:paraId="05569B4B" w14:textId="77777777" w:rsidR="00FD5849" w:rsidRPr="000634A4" w:rsidRDefault="00FD5849">
      <w:pPr>
        <w:rPr>
          <w:sz w:val="22"/>
          <w:szCs w:val="22"/>
        </w:rPr>
      </w:pPr>
    </w:p>
    <w:p w14:paraId="66903C7F" w14:textId="77777777" w:rsidR="00FD5849" w:rsidRPr="000634A4" w:rsidRDefault="00FD5849">
      <w:pPr>
        <w:rPr>
          <w:sz w:val="22"/>
          <w:szCs w:val="22"/>
        </w:rPr>
      </w:pPr>
    </w:p>
    <w:p w14:paraId="466DD371" w14:textId="77777777" w:rsidR="00FD5849" w:rsidRPr="000634A4" w:rsidRDefault="00FD5849">
      <w:pPr>
        <w:rPr>
          <w:sz w:val="22"/>
          <w:szCs w:val="22"/>
        </w:rPr>
      </w:pPr>
    </w:p>
    <w:p w14:paraId="7E5560D3" w14:textId="77777777" w:rsidR="00FD5849" w:rsidRPr="000634A4" w:rsidRDefault="00FD5849">
      <w:pPr>
        <w:rPr>
          <w:sz w:val="22"/>
          <w:szCs w:val="22"/>
        </w:rPr>
      </w:pPr>
    </w:p>
    <w:p w14:paraId="2C70897F" w14:textId="77777777" w:rsidR="00FD5849" w:rsidRPr="000634A4" w:rsidRDefault="00FD5849">
      <w:pPr>
        <w:rPr>
          <w:sz w:val="22"/>
          <w:szCs w:val="22"/>
        </w:rPr>
      </w:pPr>
    </w:p>
    <w:p w14:paraId="745796F0" w14:textId="77777777" w:rsidR="00FD5849" w:rsidRPr="000634A4" w:rsidRDefault="00FD5849">
      <w:pPr>
        <w:rPr>
          <w:sz w:val="22"/>
          <w:szCs w:val="22"/>
        </w:rPr>
      </w:pPr>
    </w:p>
    <w:p w14:paraId="5F46722B" w14:textId="427E77E3" w:rsidR="008D160F" w:rsidRPr="000634A4" w:rsidRDefault="008D160F">
      <w:pPr>
        <w:rPr>
          <w:sz w:val="22"/>
          <w:szCs w:val="22"/>
        </w:rPr>
      </w:pPr>
      <w:r w:rsidRPr="000634A4">
        <w:rPr>
          <w:sz w:val="22"/>
          <w:szCs w:val="22"/>
        </w:rPr>
        <w:br w:type="page"/>
      </w:r>
    </w:p>
    <w:p w14:paraId="21DE2DD6" w14:textId="16B49D01" w:rsidR="00FD5849" w:rsidRPr="000634A4" w:rsidRDefault="00FD5849" w:rsidP="00C205E6">
      <w:pPr>
        <w:tabs>
          <w:tab w:val="left" w:pos="7650"/>
        </w:tabs>
        <w:jc w:val="right"/>
        <w:rPr>
          <w:sz w:val="22"/>
          <w:szCs w:val="22"/>
        </w:rPr>
      </w:pPr>
      <w:r w:rsidRPr="000634A4">
        <w:rPr>
          <w:b/>
          <w:bCs/>
          <w:sz w:val="22"/>
          <w:szCs w:val="22"/>
        </w:rPr>
        <w:lastRenderedPageBreak/>
        <w:t>Exhibit 32.2</w:t>
      </w:r>
    </w:p>
    <w:p w14:paraId="63913478" w14:textId="77777777" w:rsidR="00FD5849" w:rsidRPr="000634A4" w:rsidRDefault="00FD5849" w:rsidP="00FD5849">
      <w:pPr>
        <w:tabs>
          <w:tab w:val="left" w:pos="7650"/>
        </w:tabs>
        <w:rPr>
          <w:sz w:val="22"/>
          <w:szCs w:val="22"/>
        </w:rPr>
      </w:pPr>
    </w:p>
    <w:p w14:paraId="5496D59B" w14:textId="77777777" w:rsidR="00FD5849" w:rsidRPr="000634A4" w:rsidRDefault="00FD5849" w:rsidP="00FD5849">
      <w:pPr>
        <w:tabs>
          <w:tab w:val="left" w:pos="7650"/>
        </w:tabs>
        <w:rPr>
          <w:sz w:val="22"/>
          <w:szCs w:val="22"/>
        </w:rPr>
      </w:pPr>
    </w:p>
    <w:p w14:paraId="398D785F" w14:textId="77777777" w:rsidR="00FD5849" w:rsidRPr="000634A4" w:rsidRDefault="00FD5849" w:rsidP="00FD5849">
      <w:pPr>
        <w:tabs>
          <w:tab w:val="left" w:pos="7650"/>
        </w:tabs>
        <w:rPr>
          <w:sz w:val="22"/>
          <w:szCs w:val="22"/>
        </w:rPr>
      </w:pPr>
    </w:p>
    <w:p w14:paraId="034F9EEB" w14:textId="77777777" w:rsidR="00FD5849" w:rsidRPr="000634A4" w:rsidRDefault="00FD5849" w:rsidP="00FD5849">
      <w:pPr>
        <w:tabs>
          <w:tab w:val="left" w:pos="7650"/>
        </w:tabs>
        <w:jc w:val="center"/>
        <w:rPr>
          <w:sz w:val="22"/>
          <w:szCs w:val="22"/>
        </w:rPr>
      </w:pPr>
      <w:r w:rsidRPr="000634A4">
        <w:rPr>
          <w:sz w:val="22"/>
          <w:szCs w:val="22"/>
        </w:rPr>
        <w:t>CERTIFICATION PURSUANT TO</w:t>
      </w:r>
    </w:p>
    <w:p w14:paraId="20905F03" w14:textId="77777777" w:rsidR="00FD5849" w:rsidRPr="000634A4" w:rsidRDefault="00FD5849" w:rsidP="00FD5849">
      <w:pPr>
        <w:tabs>
          <w:tab w:val="left" w:pos="7650"/>
        </w:tabs>
        <w:jc w:val="center"/>
        <w:rPr>
          <w:sz w:val="22"/>
          <w:szCs w:val="22"/>
        </w:rPr>
      </w:pPr>
      <w:r w:rsidRPr="000634A4">
        <w:rPr>
          <w:sz w:val="22"/>
          <w:szCs w:val="22"/>
        </w:rPr>
        <w:t>18 U.S.C. SECTION 1350,</w:t>
      </w:r>
    </w:p>
    <w:p w14:paraId="5D99AE10" w14:textId="77777777" w:rsidR="00FD5849" w:rsidRPr="000634A4" w:rsidRDefault="00FD5849" w:rsidP="00FD5849">
      <w:pPr>
        <w:tabs>
          <w:tab w:val="left" w:pos="7650"/>
        </w:tabs>
        <w:jc w:val="center"/>
        <w:rPr>
          <w:sz w:val="22"/>
          <w:szCs w:val="22"/>
        </w:rPr>
      </w:pPr>
      <w:r w:rsidRPr="000634A4">
        <w:rPr>
          <w:sz w:val="22"/>
          <w:szCs w:val="22"/>
        </w:rPr>
        <w:t>AS ADOPTED PURSUANT TO</w:t>
      </w:r>
    </w:p>
    <w:p w14:paraId="6BB78097" w14:textId="77777777" w:rsidR="00FD5849" w:rsidRPr="000634A4" w:rsidRDefault="00FD5849" w:rsidP="00FD5849">
      <w:pPr>
        <w:tabs>
          <w:tab w:val="left" w:pos="7650"/>
        </w:tabs>
        <w:jc w:val="center"/>
        <w:rPr>
          <w:sz w:val="22"/>
          <w:szCs w:val="22"/>
        </w:rPr>
      </w:pPr>
      <w:r w:rsidRPr="000634A4">
        <w:rPr>
          <w:sz w:val="22"/>
          <w:szCs w:val="22"/>
        </w:rPr>
        <w:t>SECTION 906 OF THE SARBANES-OXLEY ACT OF 2002</w:t>
      </w:r>
    </w:p>
    <w:p w14:paraId="79CD0674" w14:textId="77777777" w:rsidR="00FD5849" w:rsidRPr="000634A4" w:rsidRDefault="00FD5849" w:rsidP="00FD5849">
      <w:pPr>
        <w:tabs>
          <w:tab w:val="left" w:pos="7650"/>
        </w:tabs>
        <w:rPr>
          <w:sz w:val="22"/>
          <w:szCs w:val="22"/>
        </w:rPr>
      </w:pPr>
    </w:p>
    <w:p w14:paraId="497D9C08" w14:textId="77777777" w:rsidR="00FD5849" w:rsidRPr="000634A4" w:rsidRDefault="00FD5849" w:rsidP="00FD5849">
      <w:pPr>
        <w:tabs>
          <w:tab w:val="left" w:pos="7650"/>
        </w:tabs>
        <w:rPr>
          <w:sz w:val="22"/>
          <w:szCs w:val="22"/>
        </w:rPr>
      </w:pPr>
    </w:p>
    <w:p w14:paraId="72D7BD8A" w14:textId="543DC1EE" w:rsidR="00FD5849" w:rsidRPr="000634A4" w:rsidRDefault="00FD5849" w:rsidP="00FD5849">
      <w:pPr>
        <w:tabs>
          <w:tab w:val="left" w:pos="900"/>
          <w:tab w:val="left" w:pos="7650"/>
        </w:tabs>
        <w:jc w:val="both"/>
        <w:rPr>
          <w:sz w:val="22"/>
          <w:szCs w:val="22"/>
        </w:rPr>
      </w:pPr>
      <w:r w:rsidRPr="000634A4">
        <w:rPr>
          <w:sz w:val="22"/>
          <w:szCs w:val="22"/>
        </w:rPr>
        <w:tab/>
        <w:t xml:space="preserve">In connection with the Annual Report of Innodata Inc. (the “Company”) on Form 10-K for the year ended December 31, </w:t>
      </w:r>
      <w:r w:rsidR="008D160F" w:rsidRPr="000634A4">
        <w:rPr>
          <w:sz w:val="22"/>
          <w:szCs w:val="22"/>
        </w:rPr>
        <w:t xml:space="preserve">2022 </w:t>
      </w:r>
      <w:r w:rsidRPr="000634A4">
        <w:rPr>
          <w:sz w:val="22"/>
          <w:szCs w:val="22"/>
        </w:rPr>
        <w:t xml:space="preserve">as filed with the Securities and Exchange Commission on the date hereof (the “Report”), I, </w:t>
      </w:r>
      <w:r w:rsidR="00ED46CA" w:rsidRPr="000634A4">
        <w:rPr>
          <w:sz w:val="22"/>
          <w:szCs w:val="22"/>
        </w:rPr>
        <w:t>Mar</w:t>
      </w:r>
      <w:r w:rsidR="00832461" w:rsidRPr="000634A4">
        <w:rPr>
          <w:sz w:val="22"/>
          <w:szCs w:val="22"/>
        </w:rPr>
        <w:t>issa B. Espineli</w:t>
      </w:r>
      <w:r w:rsidRPr="000634A4">
        <w:rPr>
          <w:sz w:val="22"/>
          <w:szCs w:val="22"/>
        </w:rPr>
        <w:t>,</w:t>
      </w:r>
      <w:r w:rsidR="00ED46CA" w:rsidRPr="000634A4">
        <w:rPr>
          <w:sz w:val="22"/>
          <w:szCs w:val="22"/>
        </w:rPr>
        <w:t xml:space="preserve"> </w:t>
      </w:r>
      <w:r w:rsidR="00187AE9" w:rsidRPr="000634A4">
        <w:rPr>
          <w:sz w:val="22"/>
          <w:szCs w:val="22"/>
        </w:rPr>
        <w:t xml:space="preserve">Interim </w:t>
      </w:r>
      <w:r w:rsidRPr="000634A4">
        <w:rPr>
          <w:sz w:val="22"/>
          <w:szCs w:val="22"/>
        </w:rPr>
        <w:t>Chief Financial Officer, certify, pursuant to 18 U.S.C. §1350, as adopted pursuant to §906 of the Sarbanes-Oxley Act of 2002, that to the best of my knowledge:</w:t>
      </w:r>
    </w:p>
    <w:p w14:paraId="598F40C8" w14:textId="77777777" w:rsidR="00FD5849" w:rsidRPr="000634A4" w:rsidRDefault="00FD5849" w:rsidP="00FD5849">
      <w:pPr>
        <w:tabs>
          <w:tab w:val="left" w:pos="900"/>
          <w:tab w:val="left" w:pos="7650"/>
        </w:tabs>
        <w:rPr>
          <w:sz w:val="22"/>
          <w:szCs w:val="22"/>
        </w:rPr>
      </w:pPr>
    </w:p>
    <w:p w14:paraId="67B516FD" w14:textId="77777777" w:rsidR="00FD5849" w:rsidRPr="000634A4" w:rsidRDefault="00FD5849" w:rsidP="00FD5849">
      <w:pPr>
        <w:numPr>
          <w:ilvl w:val="0"/>
          <w:numId w:val="4"/>
        </w:numPr>
        <w:tabs>
          <w:tab w:val="left" w:pos="900"/>
          <w:tab w:val="left" w:pos="7650"/>
        </w:tabs>
        <w:ind w:right="540"/>
        <w:rPr>
          <w:sz w:val="22"/>
          <w:szCs w:val="22"/>
        </w:rPr>
      </w:pPr>
      <w:r w:rsidRPr="000634A4">
        <w:rPr>
          <w:sz w:val="22"/>
          <w:szCs w:val="22"/>
        </w:rPr>
        <w:t xml:space="preserve">the Report fully complies with the requirements of section 13(a) or 15(d) of the Securities Exchange Act of 1934; and </w:t>
      </w:r>
    </w:p>
    <w:p w14:paraId="293FDC0D" w14:textId="77777777" w:rsidR="00FD5849" w:rsidRPr="000634A4" w:rsidRDefault="00FD5849" w:rsidP="00FD5849">
      <w:pPr>
        <w:tabs>
          <w:tab w:val="left" w:pos="900"/>
          <w:tab w:val="left" w:pos="7650"/>
        </w:tabs>
        <w:ind w:right="540"/>
        <w:rPr>
          <w:sz w:val="22"/>
          <w:szCs w:val="22"/>
        </w:rPr>
      </w:pPr>
    </w:p>
    <w:p w14:paraId="11E9A708" w14:textId="77777777" w:rsidR="00FD5849" w:rsidRPr="000634A4" w:rsidRDefault="00FD5849" w:rsidP="00FD5849">
      <w:pPr>
        <w:numPr>
          <w:ilvl w:val="0"/>
          <w:numId w:val="4"/>
        </w:numPr>
        <w:tabs>
          <w:tab w:val="left" w:pos="900"/>
          <w:tab w:val="left" w:pos="7650"/>
        </w:tabs>
        <w:ind w:right="540"/>
        <w:rPr>
          <w:sz w:val="22"/>
          <w:szCs w:val="22"/>
        </w:rPr>
      </w:pPr>
      <w:r w:rsidRPr="000634A4">
        <w:rPr>
          <w:sz w:val="22"/>
          <w:szCs w:val="22"/>
        </w:rPr>
        <w:t>the information contained in the Report fairly presents, in all material respects, the financial condition and results of operations of the Company.</w:t>
      </w:r>
    </w:p>
    <w:p w14:paraId="4BB99C3F" w14:textId="77777777" w:rsidR="00FD5849" w:rsidRPr="000634A4" w:rsidRDefault="00FD5849" w:rsidP="00FD5849">
      <w:pPr>
        <w:tabs>
          <w:tab w:val="left" w:pos="900"/>
          <w:tab w:val="left" w:pos="7650"/>
        </w:tabs>
        <w:ind w:left="540" w:right="540"/>
        <w:rPr>
          <w:sz w:val="22"/>
          <w:szCs w:val="22"/>
        </w:rPr>
      </w:pPr>
    </w:p>
    <w:p w14:paraId="2AABFB86" w14:textId="77777777" w:rsidR="00FD5849" w:rsidRPr="000634A4" w:rsidRDefault="00FD5849" w:rsidP="00FD5849">
      <w:pPr>
        <w:tabs>
          <w:tab w:val="left" w:pos="900"/>
          <w:tab w:val="left" w:pos="6930"/>
        </w:tabs>
        <w:ind w:left="540"/>
        <w:rPr>
          <w:sz w:val="22"/>
          <w:szCs w:val="22"/>
        </w:rPr>
      </w:pPr>
      <w:r w:rsidRPr="000634A4">
        <w:rPr>
          <w:sz w:val="22"/>
          <w:szCs w:val="22"/>
        </w:rPr>
        <w:tab/>
      </w:r>
    </w:p>
    <w:tbl>
      <w:tblPr>
        <w:tblW w:w="0" w:type="auto"/>
        <w:tblInd w:w="5418" w:type="dxa"/>
        <w:tblLook w:val="0000" w:firstRow="0" w:lastRow="0" w:firstColumn="0" w:lastColumn="0" w:noHBand="0" w:noVBand="0"/>
      </w:tblPr>
      <w:tblGrid>
        <w:gridCol w:w="3420"/>
      </w:tblGrid>
      <w:tr w:rsidR="00991A07" w:rsidRPr="000634A4" w14:paraId="14610FEB" w14:textId="77777777" w:rsidTr="00D03196">
        <w:tc>
          <w:tcPr>
            <w:tcW w:w="3420" w:type="dxa"/>
            <w:tcBorders>
              <w:bottom w:val="single" w:sz="4" w:space="0" w:color="auto"/>
            </w:tcBorders>
          </w:tcPr>
          <w:p w14:paraId="22DD06F8" w14:textId="069A80EB" w:rsidR="00991A07" w:rsidRPr="000634A4" w:rsidRDefault="00991A07" w:rsidP="00991A07">
            <w:pPr>
              <w:tabs>
                <w:tab w:val="left" w:pos="162"/>
                <w:tab w:val="left" w:pos="6930"/>
              </w:tabs>
              <w:rPr>
                <w:sz w:val="22"/>
                <w:szCs w:val="22"/>
              </w:rPr>
            </w:pPr>
            <w:r w:rsidRPr="000634A4">
              <w:rPr>
                <w:sz w:val="22"/>
                <w:szCs w:val="22"/>
              </w:rPr>
              <w:t>/s/ Marissa B. Espineli</w:t>
            </w:r>
          </w:p>
        </w:tc>
      </w:tr>
      <w:tr w:rsidR="00991A07" w:rsidRPr="000634A4" w14:paraId="73736A2A" w14:textId="77777777" w:rsidTr="00D03196">
        <w:tc>
          <w:tcPr>
            <w:tcW w:w="3420" w:type="dxa"/>
            <w:tcBorders>
              <w:top w:val="single" w:sz="4" w:space="0" w:color="auto"/>
            </w:tcBorders>
          </w:tcPr>
          <w:p w14:paraId="6AAC6A35" w14:textId="7050740F" w:rsidR="00991A07" w:rsidRPr="000634A4" w:rsidRDefault="00991A07" w:rsidP="00991A07">
            <w:pPr>
              <w:tabs>
                <w:tab w:val="left" w:pos="900"/>
                <w:tab w:val="left" w:pos="6930"/>
              </w:tabs>
              <w:rPr>
                <w:sz w:val="22"/>
                <w:szCs w:val="22"/>
              </w:rPr>
            </w:pPr>
            <w:r w:rsidRPr="000634A4">
              <w:rPr>
                <w:sz w:val="22"/>
                <w:szCs w:val="22"/>
              </w:rPr>
              <w:t>Marissa B. Espineli</w:t>
            </w:r>
          </w:p>
        </w:tc>
      </w:tr>
      <w:tr w:rsidR="00991A07" w:rsidRPr="000634A4" w14:paraId="561FCB7C" w14:textId="77777777" w:rsidTr="00D03196">
        <w:tc>
          <w:tcPr>
            <w:tcW w:w="3420" w:type="dxa"/>
          </w:tcPr>
          <w:p w14:paraId="73352E40" w14:textId="77777777" w:rsidR="00991A07" w:rsidRPr="000634A4" w:rsidRDefault="00991A07" w:rsidP="00991A07">
            <w:pPr>
              <w:tabs>
                <w:tab w:val="left" w:pos="900"/>
                <w:tab w:val="left" w:pos="6930"/>
              </w:tabs>
              <w:rPr>
                <w:sz w:val="22"/>
                <w:szCs w:val="22"/>
              </w:rPr>
            </w:pPr>
            <w:r w:rsidRPr="000634A4">
              <w:rPr>
                <w:sz w:val="22"/>
                <w:szCs w:val="22"/>
              </w:rPr>
              <w:t xml:space="preserve">Interim Chief Financial Officer </w:t>
            </w:r>
          </w:p>
          <w:p w14:paraId="3AE74A72" w14:textId="77777777" w:rsidR="00991A07" w:rsidRPr="000634A4" w:rsidRDefault="00991A07" w:rsidP="00991A07">
            <w:pPr>
              <w:tabs>
                <w:tab w:val="left" w:pos="900"/>
                <w:tab w:val="left" w:pos="6930"/>
              </w:tabs>
              <w:rPr>
                <w:sz w:val="22"/>
                <w:szCs w:val="22"/>
              </w:rPr>
            </w:pPr>
          </w:p>
        </w:tc>
      </w:tr>
      <w:tr w:rsidR="009E3590" w:rsidRPr="00867AD0" w14:paraId="6AE84A62" w14:textId="77777777" w:rsidTr="00D03196">
        <w:tc>
          <w:tcPr>
            <w:tcW w:w="3420" w:type="dxa"/>
          </w:tcPr>
          <w:p w14:paraId="66E5FA41" w14:textId="6EE2F71F" w:rsidR="00FD5849" w:rsidRPr="00501AD3" w:rsidRDefault="005B3C47" w:rsidP="00D03196">
            <w:pPr>
              <w:tabs>
                <w:tab w:val="left" w:pos="6930"/>
              </w:tabs>
              <w:rPr>
                <w:sz w:val="22"/>
                <w:szCs w:val="22"/>
              </w:rPr>
            </w:pPr>
            <w:r w:rsidRPr="000634A4">
              <w:rPr>
                <w:sz w:val="22"/>
                <w:szCs w:val="22"/>
              </w:rPr>
              <w:t>February 23, 2023</w:t>
            </w:r>
          </w:p>
          <w:p w14:paraId="1FBE845B" w14:textId="77777777" w:rsidR="00FD5849" w:rsidRPr="00501AD3" w:rsidRDefault="00FD5849" w:rsidP="00D03196">
            <w:pPr>
              <w:tabs>
                <w:tab w:val="left" w:pos="6930"/>
              </w:tabs>
              <w:rPr>
                <w:sz w:val="22"/>
                <w:szCs w:val="22"/>
              </w:rPr>
            </w:pPr>
          </w:p>
        </w:tc>
      </w:tr>
      <w:tr w:rsidR="000D6D63" w:rsidRPr="00867AD0" w14:paraId="018E90C5" w14:textId="77777777" w:rsidTr="00D03196">
        <w:tc>
          <w:tcPr>
            <w:tcW w:w="3420" w:type="dxa"/>
          </w:tcPr>
          <w:p w14:paraId="2681E386" w14:textId="77777777" w:rsidR="000D6D63" w:rsidRPr="00501AD3" w:rsidRDefault="000D6D63" w:rsidP="00D03196">
            <w:pPr>
              <w:tabs>
                <w:tab w:val="left" w:pos="6930"/>
              </w:tabs>
              <w:rPr>
                <w:sz w:val="22"/>
                <w:szCs w:val="22"/>
              </w:rPr>
            </w:pPr>
          </w:p>
          <w:p w14:paraId="63885E17" w14:textId="55548512" w:rsidR="000D6D63" w:rsidRPr="00501AD3" w:rsidRDefault="000D6D63" w:rsidP="00D03196">
            <w:pPr>
              <w:tabs>
                <w:tab w:val="left" w:pos="6930"/>
              </w:tabs>
              <w:rPr>
                <w:sz w:val="22"/>
                <w:szCs w:val="22"/>
              </w:rPr>
            </w:pPr>
          </w:p>
        </w:tc>
      </w:tr>
      <w:bookmarkEnd w:id="78"/>
      <w:bookmarkEnd w:id="79"/>
    </w:tbl>
    <w:p w14:paraId="56E0B248" w14:textId="77777777" w:rsidR="000445F4" w:rsidRPr="00501AD3" w:rsidRDefault="000445F4" w:rsidP="000D6D63">
      <w:pPr>
        <w:rPr>
          <w:snapToGrid w:val="0"/>
          <w:sz w:val="22"/>
          <w:szCs w:val="22"/>
        </w:rPr>
      </w:pPr>
    </w:p>
    <w:sectPr w:rsidR="000445F4" w:rsidRPr="00501AD3" w:rsidSect="002C4686">
      <w:headerReference w:type="default" r:id="rId77"/>
      <w:footerReference w:type="default" r:id="rId78"/>
      <w:pgSz w:w="12240" w:h="15840" w:code="1"/>
      <w:pgMar w:top="1152" w:right="1350" w:bottom="1152" w:left="1152"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71E8" w14:textId="77777777" w:rsidR="00690CDD" w:rsidRDefault="00690CDD">
      <w:pPr>
        <w:spacing w:line="20" w:lineRule="exact"/>
      </w:pPr>
    </w:p>
  </w:endnote>
  <w:endnote w:type="continuationSeparator" w:id="0">
    <w:p w14:paraId="62D0F66F" w14:textId="77777777" w:rsidR="00690CDD" w:rsidRDefault="00690CDD">
      <w:r>
        <w:t xml:space="preserve"> </w:t>
      </w:r>
    </w:p>
  </w:endnote>
  <w:endnote w:type="continuationNotice" w:id="1">
    <w:p w14:paraId="3C479EC4" w14:textId="77777777" w:rsidR="00690CDD" w:rsidRDefault="00690CD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765E" w14:textId="77777777" w:rsidR="006C5992" w:rsidRPr="00D45FED" w:rsidRDefault="006C5992" w:rsidP="00A71198">
    <w:pPr>
      <w:pStyle w:val="Footer"/>
      <w:jc w:val="center"/>
      <w:rPr>
        <w:rFonts w:ascii="Times New Roman" w:hAnsi="Times New Roman"/>
        <w:sz w:val="18"/>
        <w:szCs w:val="18"/>
      </w:rPr>
    </w:pPr>
    <w:r w:rsidRPr="00D45FED">
      <w:rPr>
        <w:rFonts w:ascii="Times New Roman" w:hAnsi="Times New Roman"/>
        <w:sz w:val="18"/>
        <w:szCs w:val="18"/>
      </w:rPr>
      <w:fldChar w:fldCharType="begin"/>
    </w:r>
    <w:r w:rsidRPr="00D45FED">
      <w:rPr>
        <w:rFonts w:ascii="Times New Roman" w:hAnsi="Times New Roman"/>
        <w:sz w:val="18"/>
        <w:szCs w:val="18"/>
      </w:rPr>
      <w:instrText xml:space="preserve"> PAGE   \* MERGEFORMAT </w:instrText>
    </w:r>
    <w:r w:rsidRPr="00D45FED">
      <w:rPr>
        <w:rFonts w:ascii="Times New Roman" w:hAnsi="Times New Roman"/>
        <w:sz w:val="18"/>
        <w:szCs w:val="18"/>
      </w:rPr>
      <w:fldChar w:fldCharType="separate"/>
    </w:r>
    <w:r w:rsidRPr="00D45FED">
      <w:rPr>
        <w:rFonts w:ascii="Times New Roman" w:hAnsi="Times New Roman"/>
        <w:noProof/>
        <w:sz w:val="18"/>
        <w:szCs w:val="18"/>
      </w:rPr>
      <w:t>2</w:t>
    </w:r>
    <w:r w:rsidRPr="00D45FED">
      <w:rPr>
        <w:rFonts w:ascii="Times New Roman" w:hAnsi="Times New Roman"/>
        <w:noProof/>
        <w:sz w:val="18"/>
        <w:szCs w:val="18"/>
      </w:rPr>
      <w:fldChar w:fldCharType="end"/>
    </w:r>
  </w:p>
  <w:p w14:paraId="5722D33B" w14:textId="77777777" w:rsidR="006C5992" w:rsidRDefault="006C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05DE" w14:textId="77777777" w:rsidR="006C5992" w:rsidRPr="000334E9" w:rsidRDefault="006C5992">
    <w:pPr>
      <w:pStyle w:val="Footer"/>
      <w:jc w:val="center"/>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8E02" w14:textId="20F2B680" w:rsidR="006C5992" w:rsidRPr="002C4686" w:rsidRDefault="006C5992">
    <w:pPr>
      <w:pStyle w:val="Footer"/>
      <w:jc w:val="center"/>
      <w:rPr>
        <w:rFonts w:ascii="Times New Roman" w:hAnsi="Times New Roman"/>
        <w:caps/>
        <w:noProof/>
        <w:sz w:val="18"/>
        <w:szCs w:val="18"/>
      </w:rPr>
    </w:pPr>
    <w:r w:rsidRPr="002C4686">
      <w:rPr>
        <w:rFonts w:ascii="Times New Roman" w:hAnsi="Times New Roman"/>
        <w:caps/>
        <w:sz w:val="18"/>
        <w:szCs w:val="18"/>
      </w:rPr>
      <w:fldChar w:fldCharType="begin"/>
    </w:r>
    <w:r w:rsidRPr="002C4686">
      <w:rPr>
        <w:rFonts w:ascii="Times New Roman" w:hAnsi="Times New Roman"/>
        <w:caps/>
        <w:sz w:val="18"/>
        <w:szCs w:val="18"/>
      </w:rPr>
      <w:instrText xml:space="preserve"> PAGE   \* MERGEFORMAT </w:instrText>
    </w:r>
    <w:r w:rsidRPr="002C4686">
      <w:rPr>
        <w:rFonts w:ascii="Times New Roman" w:hAnsi="Times New Roman"/>
        <w:caps/>
        <w:sz w:val="18"/>
        <w:szCs w:val="18"/>
      </w:rPr>
      <w:fldChar w:fldCharType="separate"/>
    </w:r>
    <w:r w:rsidR="00824D81">
      <w:rPr>
        <w:rFonts w:ascii="Times New Roman" w:hAnsi="Times New Roman"/>
        <w:caps/>
        <w:noProof/>
        <w:sz w:val="18"/>
        <w:szCs w:val="18"/>
      </w:rPr>
      <w:t>4</w:t>
    </w:r>
    <w:r w:rsidRPr="002C4686">
      <w:rPr>
        <w:rFonts w:ascii="Times New Roman" w:hAnsi="Times New Roman"/>
        <w:caps/>
        <w:noProof/>
        <w:sz w:val="18"/>
        <w:szCs w:val="18"/>
      </w:rPr>
      <w:fldChar w:fldCharType="end"/>
    </w:r>
  </w:p>
  <w:p w14:paraId="110D2992" w14:textId="77777777" w:rsidR="006C5992" w:rsidRPr="00D844B2" w:rsidRDefault="006C5992" w:rsidP="00D844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3CA0" w14:textId="77777777" w:rsidR="006C5992" w:rsidRPr="002C4686" w:rsidRDefault="006C5992">
    <w:pPr>
      <w:pStyle w:val="Footer"/>
      <w:jc w:val="center"/>
      <w:rPr>
        <w:rFonts w:ascii="Times New Roman" w:hAnsi="Times New Roman"/>
        <w:caps/>
        <w:noProof/>
        <w:sz w:val="18"/>
        <w:szCs w:val="18"/>
      </w:rPr>
    </w:pPr>
    <w:r w:rsidRPr="002C4686">
      <w:rPr>
        <w:rFonts w:ascii="Times New Roman" w:hAnsi="Times New Roman"/>
        <w:caps/>
        <w:sz w:val="18"/>
        <w:szCs w:val="18"/>
      </w:rPr>
      <w:fldChar w:fldCharType="begin"/>
    </w:r>
    <w:r w:rsidRPr="002C4686">
      <w:rPr>
        <w:rFonts w:ascii="Times New Roman" w:hAnsi="Times New Roman"/>
        <w:caps/>
        <w:sz w:val="18"/>
        <w:szCs w:val="18"/>
      </w:rPr>
      <w:instrText xml:space="preserve"> PAGE   \* MERGEFORMAT </w:instrText>
    </w:r>
    <w:r w:rsidRPr="002C4686">
      <w:rPr>
        <w:rFonts w:ascii="Times New Roman" w:hAnsi="Times New Roman"/>
        <w:caps/>
        <w:sz w:val="18"/>
        <w:szCs w:val="18"/>
      </w:rPr>
      <w:fldChar w:fldCharType="separate"/>
    </w:r>
    <w:r>
      <w:rPr>
        <w:rFonts w:ascii="Times New Roman" w:hAnsi="Times New Roman"/>
        <w:caps/>
        <w:noProof/>
        <w:sz w:val="18"/>
        <w:szCs w:val="18"/>
      </w:rPr>
      <w:t>2</w:t>
    </w:r>
    <w:r w:rsidRPr="002C4686">
      <w:rPr>
        <w:rFonts w:ascii="Times New Roman" w:hAnsi="Times New Roman"/>
        <w:caps/>
        <w:noProof/>
        <w:sz w:val="18"/>
        <w:szCs w:val="18"/>
      </w:rPr>
      <w:fldChar w:fldCharType="end"/>
    </w:r>
  </w:p>
  <w:p w14:paraId="4A7DE14B" w14:textId="77777777" w:rsidR="006C5992" w:rsidRDefault="006C59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F1F5" w14:textId="77777777" w:rsidR="006C5992" w:rsidRDefault="006C59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0344" w14:textId="0C2C08C4" w:rsidR="006C5992" w:rsidRPr="002C4686" w:rsidRDefault="006C5992">
    <w:pPr>
      <w:pStyle w:val="Footer"/>
      <w:jc w:val="center"/>
      <w:rPr>
        <w:rFonts w:ascii="Times New Roman" w:hAnsi="Times New Roman"/>
        <w:caps/>
        <w:noProof/>
        <w:sz w:val="18"/>
        <w:szCs w:val="18"/>
      </w:rPr>
    </w:pPr>
    <w:r>
      <w:rPr>
        <w:rFonts w:ascii="Times New Roman" w:hAnsi="Times New Roman"/>
        <w:caps/>
        <w:sz w:val="18"/>
        <w:szCs w:val="18"/>
      </w:rPr>
      <w:t>F-</w:t>
    </w:r>
    <w:r w:rsidRPr="002C4686">
      <w:rPr>
        <w:rFonts w:ascii="Times New Roman" w:hAnsi="Times New Roman"/>
        <w:caps/>
        <w:sz w:val="18"/>
        <w:szCs w:val="18"/>
      </w:rPr>
      <w:fldChar w:fldCharType="begin"/>
    </w:r>
    <w:r w:rsidRPr="002C4686">
      <w:rPr>
        <w:rFonts w:ascii="Times New Roman" w:hAnsi="Times New Roman"/>
        <w:caps/>
        <w:sz w:val="18"/>
        <w:szCs w:val="18"/>
      </w:rPr>
      <w:instrText xml:space="preserve"> PAGE   \* MERGEFORMAT </w:instrText>
    </w:r>
    <w:r w:rsidRPr="002C4686">
      <w:rPr>
        <w:rFonts w:ascii="Times New Roman" w:hAnsi="Times New Roman"/>
        <w:caps/>
        <w:sz w:val="18"/>
        <w:szCs w:val="18"/>
      </w:rPr>
      <w:fldChar w:fldCharType="separate"/>
    </w:r>
    <w:r w:rsidR="00824D81">
      <w:rPr>
        <w:rFonts w:ascii="Times New Roman" w:hAnsi="Times New Roman"/>
        <w:caps/>
        <w:noProof/>
        <w:sz w:val="18"/>
        <w:szCs w:val="18"/>
      </w:rPr>
      <w:t>7</w:t>
    </w:r>
    <w:r w:rsidRPr="002C4686">
      <w:rPr>
        <w:rFonts w:ascii="Times New Roman" w:hAnsi="Times New Roman"/>
        <w:caps/>
        <w:noProof/>
        <w:sz w:val="18"/>
        <w:szCs w:val="18"/>
      </w:rPr>
      <w:fldChar w:fldCharType="end"/>
    </w:r>
  </w:p>
  <w:p w14:paraId="52113EA7" w14:textId="77777777" w:rsidR="006C5992" w:rsidRPr="00D844B2" w:rsidRDefault="006C5992" w:rsidP="00D844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2674" w14:textId="6D82AF10" w:rsidR="006C5992" w:rsidRPr="002C4686" w:rsidRDefault="006C5992">
    <w:pPr>
      <w:pStyle w:val="Footer"/>
      <w:jc w:val="center"/>
      <w:rPr>
        <w:rFonts w:ascii="Times New Roman" w:hAnsi="Times New Roman"/>
        <w:caps/>
        <w:noProof/>
        <w:sz w:val="18"/>
        <w:szCs w:val="18"/>
      </w:rPr>
    </w:pPr>
    <w:r>
      <w:rPr>
        <w:rFonts w:ascii="Times New Roman" w:hAnsi="Times New Roman"/>
        <w:caps/>
        <w:sz w:val="18"/>
        <w:szCs w:val="18"/>
      </w:rPr>
      <w:t>F-</w:t>
    </w:r>
    <w:r w:rsidRPr="002C4686">
      <w:rPr>
        <w:rFonts w:ascii="Times New Roman" w:hAnsi="Times New Roman"/>
        <w:caps/>
        <w:sz w:val="18"/>
        <w:szCs w:val="18"/>
      </w:rPr>
      <w:fldChar w:fldCharType="begin"/>
    </w:r>
    <w:r w:rsidRPr="002C4686">
      <w:rPr>
        <w:rFonts w:ascii="Times New Roman" w:hAnsi="Times New Roman"/>
        <w:caps/>
        <w:sz w:val="18"/>
        <w:szCs w:val="18"/>
      </w:rPr>
      <w:instrText xml:space="preserve"> PAGE   \* MERGEFORMAT </w:instrText>
    </w:r>
    <w:r w:rsidRPr="002C4686">
      <w:rPr>
        <w:rFonts w:ascii="Times New Roman" w:hAnsi="Times New Roman"/>
        <w:caps/>
        <w:sz w:val="18"/>
        <w:szCs w:val="18"/>
      </w:rPr>
      <w:fldChar w:fldCharType="separate"/>
    </w:r>
    <w:r w:rsidR="00824D81">
      <w:rPr>
        <w:rFonts w:ascii="Times New Roman" w:hAnsi="Times New Roman"/>
        <w:caps/>
        <w:noProof/>
        <w:sz w:val="18"/>
        <w:szCs w:val="18"/>
      </w:rPr>
      <w:t>21</w:t>
    </w:r>
    <w:r w:rsidRPr="002C4686">
      <w:rPr>
        <w:rFonts w:ascii="Times New Roman" w:hAnsi="Times New Roman"/>
        <w:caps/>
        <w:noProof/>
        <w:sz w:val="18"/>
        <w:szCs w:val="18"/>
      </w:rPr>
      <w:fldChar w:fldCharType="end"/>
    </w:r>
  </w:p>
  <w:p w14:paraId="3EF82195" w14:textId="77777777" w:rsidR="006C5992" w:rsidRPr="00D844B2" w:rsidRDefault="006C5992" w:rsidP="00D844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71D5" w14:textId="77777777" w:rsidR="006C5992" w:rsidRPr="008D5D69" w:rsidRDefault="006C5992">
    <w:pPr>
      <w:pStyle w:val="Footer"/>
      <w:jc w:val="center"/>
      <w:rPr>
        <w:rFonts w:ascii="Times New Roman" w:hAnsi="Times New Roman"/>
        <w:caps/>
        <w:noProof/>
        <w:sz w:val="18"/>
        <w:szCs w:val="18"/>
      </w:rPr>
    </w:pPr>
    <w:r w:rsidRPr="008D5D69">
      <w:rPr>
        <w:rFonts w:ascii="Times New Roman" w:hAnsi="Times New Roman"/>
        <w:caps/>
        <w:sz w:val="18"/>
        <w:szCs w:val="18"/>
      </w:rPr>
      <w:t>f-</w:t>
    </w:r>
    <w:r w:rsidRPr="008D5D69">
      <w:rPr>
        <w:rFonts w:ascii="Times New Roman" w:hAnsi="Times New Roman"/>
        <w:caps/>
        <w:sz w:val="18"/>
        <w:szCs w:val="18"/>
      </w:rPr>
      <w:fldChar w:fldCharType="begin"/>
    </w:r>
    <w:r w:rsidRPr="008D5D69">
      <w:rPr>
        <w:rFonts w:ascii="Times New Roman" w:hAnsi="Times New Roman"/>
        <w:caps/>
        <w:sz w:val="18"/>
        <w:szCs w:val="18"/>
      </w:rPr>
      <w:instrText xml:space="preserve"> PAGE   \* MERGEFORMAT </w:instrText>
    </w:r>
    <w:r w:rsidRPr="008D5D69">
      <w:rPr>
        <w:rFonts w:ascii="Times New Roman" w:hAnsi="Times New Roman"/>
        <w:caps/>
        <w:sz w:val="18"/>
        <w:szCs w:val="18"/>
      </w:rPr>
      <w:fldChar w:fldCharType="separate"/>
    </w:r>
    <w:r w:rsidRPr="008D5D69">
      <w:rPr>
        <w:rFonts w:ascii="Times New Roman" w:hAnsi="Times New Roman"/>
        <w:caps/>
        <w:noProof/>
        <w:sz w:val="18"/>
        <w:szCs w:val="18"/>
      </w:rPr>
      <w:t>2</w:t>
    </w:r>
    <w:r w:rsidRPr="008D5D69">
      <w:rPr>
        <w:rFonts w:ascii="Times New Roman" w:hAnsi="Times New Roman"/>
        <w:caps/>
        <w:noProof/>
        <w:sz w:val="18"/>
        <w:szCs w:val="18"/>
      </w:rPr>
      <w:fldChar w:fldCharType="end"/>
    </w:r>
  </w:p>
  <w:p w14:paraId="5998F090" w14:textId="77777777" w:rsidR="006C5992" w:rsidRDefault="006C59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7776" w14:textId="5021289E" w:rsidR="006C5992" w:rsidRPr="00905F52" w:rsidRDefault="006C5992">
    <w:pPr>
      <w:pStyle w:val="Footer"/>
      <w:jc w:val="center"/>
      <w:rPr>
        <w:rFonts w:ascii="Times New Roman" w:hAnsi="Times New Roman"/>
        <w:caps/>
        <w:noProof/>
        <w:color w:val="FFFFFF" w:themeColor="background1"/>
        <w:sz w:val="18"/>
        <w:szCs w:val="18"/>
      </w:rPr>
    </w:pPr>
    <w:r w:rsidRPr="00905F52">
      <w:rPr>
        <w:rFonts w:ascii="Times New Roman" w:hAnsi="Times New Roman"/>
        <w:caps/>
        <w:color w:val="FFFFFF" w:themeColor="background1"/>
        <w:sz w:val="18"/>
        <w:szCs w:val="18"/>
      </w:rPr>
      <w:fldChar w:fldCharType="begin"/>
    </w:r>
    <w:r w:rsidRPr="00905F52">
      <w:rPr>
        <w:rFonts w:ascii="Times New Roman" w:hAnsi="Times New Roman"/>
        <w:caps/>
        <w:color w:val="FFFFFF" w:themeColor="background1"/>
        <w:sz w:val="18"/>
        <w:szCs w:val="18"/>
      </w:rPr>
      <w:instrText xml:space="preserve"> PAGE   \* MERGEFORMAT </w:instrText>
    </w:r>
    <w:r w:rsidRPr="00905F52">
      <w:rPr>
        <w:rFonts w:ascii="Times New Roman" w:hAnsi="Times New Roman"/>
        <w:caps/>
        <w:color w:val="FFFFFF" w:themeColor="background1"/>
        <w:sz w:val="18"/>
        <w:szCs w:val="18"/>
      </w:rPr>
      <w:fldChar w:fldCharType="separate"/>
    </w:r>
    <w:r w:rsidR="00824D81">
      <w:rPr>
        <w:rFonts w:ascii="Times New Roman" w:hAnsi="Times New Roman"/>
        <w:caps/>
        <w:noProof/>
        <w:color w:val="FFFFFF" w:themeColor="background1"/>
        <w:sz w:val="18"/>
        <w:szCs w:val="18"/>
      </w:rPr>
      <w:t>4</w:t>
    </w:r>
    <w:r w:rsidRPr="00905F52">
      <w:rPr>
        <w:rFonts w:ascii="Times New Roman" w:hAnsi="Times New Roman"/>
        <w:caps/>
        <w:noProof/>
        <w:color w:val="FFFFFF" w:themeColor="background1"/>
        <w:sz w:val="18"/>
        <w:szCs w:val="18"/>
      </w:rPr>
      <w:fldChar w:fldCharType="end"/>
    </w:r>
  </w:p>
  <w:p w14:paraId="4952AA28" w14:textId="77777777" w:rsidR="006C5992" w:rsidRPr="00D844B2" w:rsidRDefault="006C5992" w:rsidP="00D84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D0F3" w14:textId="77777777" w:rsidR="00690CDD" w:rsidRDefault="00690CDD">
      <w:r>
        <w:separator/>
      </w:r>
    </w:p>
  </w:footnote>
  <w:footnote w:type="continuationSeparator" w:id="0">
    <w:p w14:paraId="25166629" w14:textId="77777777" w:rsidR="00690CDD" w:rsidRDefault="00690CDD">
      <w:r>
        <w:continuationSeparator/>
      </w:r>
    </w:p>
  </w:footnote>
  <w:footnote w:type="continuationNotice" w:id="1">
    <w:p w14:paraId="025CF45B" w14:textId="77777777" w:rsidR="00690CDD" w:rsidRDefault="00690CDD"/>
  </w:footnote>
  <w:footnote w:id="2">
    <w:p w14:paraId="3CA33044" w14:textId="77777777" w:rsidR="00363CED" w:rsidRPr="001A7894" w:rsidRDefault="00363CED" w:rsidP="00363CED">
      <w:pPr>
        <w:pStyle w:val="FootnoteText"/>
        <w:rPr>
          <w:rFonts w:ascii="Times New Roman" w:hAnsi="Times New Roman"/>
          <w:sz w:val="18"/>
          <w:szCs w:val="18"/>
        </w:rPr>
      </w:pPr>
      <w:r w:rsidRPr="001A7894">
        <w:rPr>
          <w:rStyle w:val="FootnoteReference"/>
          <w:rFonts w:ascii="Times New Roman" w:hAnsi="Times New Roman"/>
          <w:sz w:val="18"/>
          <w:szCs w:val="18"/>
        </w:rPr>
        <w:footnoteRef/>
      </w:r>
      <w:r w:rsidRPr="001A7894">
        <w:rPr>
          <w:rFonts w:ascii="Times New Roman" w:hAnsi="Times New Roman"/>
          <w:sz w:val="18"/>
          <w:szCs w:val="18"/>
        </w:rPr>
        <w:t xml:space="preserve"> </w:t>
      </w:r>
      <w:r w:rsidRPr="001A7894">
        <w:rPr>
          <w:rFonts w:ascii="Times New Roman" w:hAnsi="Times New Roman"/>
          <w:i/>
          <w:sz w:val="18"/>
          <w:szCs w:val="18"/>
        </w:rPr>
        <w:t>Data Preparation &amp; Labeling for AI 2020</w:t>
      </w:r>
      <w:r w:rsidRPr="001A7894">
        <w:rPr>
          <w:rFonts w:ascii="Times New Roman" w:hAnsi="Times New Roman"/>
          <w:sz w:val="18"/>
          <w:szCs w:val="18"/>
        </w:rPr>
        <w:t xml:space="preserve">, </w:t>
      </w:r>
      <w:r w:rsidRPr="001A7894">
        <w:rPr>
          <w:rFonts w:ascii="Times New Roman" w:hAnsi="Times New Roman"/>
          <w:sz w:val="18"/>
          <w:szCs w:val="18"/>
          <w:u w:val="single"/>
        </w:rPr>
        <w:t>Cognilytica Research</w:t>
      </w:r>
      <w:r w:rsidRPr="001A7894">
        <w:rPr>
          <w:rFonts w:ascii="Times New Roman" w:hAnsi="Times New Roman"/>
          <w:sz w:val="18"/>
          <w:szCs w:val="18"/>
        </w:rPr>
        <w:t xml:space="preserve"> (Jan. 31, 2020)</w:t>
      </w:r>
    </w:p>
  </w:footnote>
  <w:footnote w:id="3">
    <w:p w14:paraId="5B7F7778" w14:textId="77777777" w:rsidR="00363CED" w:rsidRPr="001A7894" w:rsidRDefault="00363CED" w:rsidP="00363CED">
      <w:pPr>
        <w:pStyle w:val="FootnoteText"/>
        <w:rPr>
          <w:rFonts w:ascii="Times New Roman" w:hAnsi="Times New Roman"/>
          <w:color w:val="000000" w:themeColor="text1"/>
          <w:sz w:val="18"/>
          <w:szCs w:val="18"/>
        </w:rPr>
      </w:pPr>
      <w:r w:rsidRPr="001A7894">
        <w:rPr>
          <w:rStyle w:val="FootnoteReference"/>
          <w:rFonts w:ascii="Times New Roman" w:hAnsi="Times New Roman"/>
          <w:sz w:val="18"/>
          <w:szCs w:val="18"/>
        </w:rPr>
        <w:footnoteRef/>
      </w:r>
      <w:r w:rsidRPr="001A7894">
        <w:rPr>
          <w:rFonts w:ascii="Times New Roman" w:hAnsi="Times New Roman"/>
          <w:sz w:val="18"/>
          <w:szCs w:val="18"/>
        </w:rPr>
        <w:t xml:space="preserve"> </w:t>
      </w:r>
      <w:r w:rsidRPr="001A7894">
        <w:rPr>
          <w:rFonts w:ascii="Times New Roman" w:hAnsi="Times New Roman"/>
          <w:i/>
          <w:sz w:val="18"/>
          <w:szCs w:val="18"/>
        </w:rPr>
        <w:t xml:space="preserve">Data Labeling </w:t>
      </w:r>
      <w:r>
        <w:rPr>
          <w:rFonts w:ascii="Times New Roman" w:hAnsi="Times New Roman"/>
          <w:i/>
          <w:sz w:val="18"/>
          <w:szCs w:val="18"/>
        </w:rPr>
        <w:t>Solution and Services Market</w:t>
      </w:r>
      <w:r w:rsidRPr="001A7894">
        <w:rPr>
          <w:rFonts w:ascii="Times New Roman" w:hAnsi="Times New Roman"/>
          <w:sz w:val="18"/>
          <w:szCs w:val="18"/>
        </w:rPr>
        <w:t xml:space="preserve">, </w:t>
      </w:r>
      <w:r>
        <w:rPr>
          <w:rFonts w:ascii="Times New Roman" w:hAnsi="Times New Roman"/>
          <w:sz w:val="18"/>
          <w:szCs w:val="18"/>
          <w:u w:val="single"/>
        </w:rPr>
        <w:t>FactMR</w:t>
      </w:r>
      <w:r w:rsidRPr="001A7894">
        <w:rPr>
          <w:rFonts w:ascii="Times New Roman" w:hAnsi="Times New Roman"/>
          <w:sz w:val="18"/>
          <w:szCs w:val="18"/>
        </w:rPr>
        <w:t xml:space="preserve"> (</w:t>
      </w:r>
      <w:r>
        <w:rPr>
          <w:rFonts w:ascii="Times New Roman" w:hAnsi="Times New Roman"/>
          <w:sz w:val="18"/>
          <w:szCs w:val="18"/>
        </w:rPr>
        <w:t>Feb. 2022</w:t>
      </w:r>
      <w:r w:rsidRPr="001A7894">
        <w:rPr>
          <w:rFonts w:ascii="Times New Roman" w:hAnsi="Times New Roman"/>
          <w:sz w:val="18"/>
          <w:szCs w:val="18"/>
        </w:rPr>
        <w:t>)</w:t>
      </w:r>
    </w:p>
  </w:footnote>
  <w:footnote w:id="4">
    <w:p w14:paraId="44171D78" w14:textId="77777777" w:rsidR="00363CED" w:rsidRPr="001A7894" w:rsidRDefault="00363CED" w:rsidP="00363CED">
      <w:pPr>
        <w:pStyle w:val="FootnoteText"/>
        <w:rPr>
          <w:rFonts w:ascii="Times New Roman" w:hAnsi="Times New Roman"/>
          <w:color w:val="000000" w:themeColor="text1"/>
          <w:sz w:val="18"/>
          <w:szCs w:val="18"/>
        </w:rPr>
      </w:pPr>
      <w:r w:rsidRPr="001A7894">
        <w:rPr>
          <w:rStyle w:val="FootnoteReference"/>
          <w:rFonts w:ascii="Times New Roman" w:hAnsi="Times New Roman"/>
          <w:color w:val="000000" w:themeColor="text1"/>
          <w:sz w:val="18"/>
          <w:szCs w:val="18"/>
        </w:rPr>
        <w:footnoteRef/>
      </w:r>
      <w:r w:rsidRPr="001A7894">
        <w:rPr>
          <w:rFonts w:ascii="Times New Roman" w:hAnsi="Times New Roman"/>
          <w:color w:val="000000" w:themeColor="text1"/>
          <w:sz w:val="18"/>
          <w:szCs w:val="18"/>
        </w:rPr>
        <w:t xml:space="preserve"> </w:t>
      </w:r>
      <w:r w:rsidRPr="005963FF">
        <w:rPr>
          <w:rFonts w:ascii="Times New Roman" w:hAnsi="Times New Roman"/>
          <w:i/>
          <w:iCs/>
          <w:color w:val="000000" w:themeColor="text1"/>
          <w:sz w:val="18"/>
          <w:szCs w:val="18"/>
        </w:rPr>
        <w:t>Worldwide Artificial Intelligence Systems Spending Guide</w:t>
      </w:r>
      <w:r w:rsidRPr="001A7894">
        <w:rPr>
          <w:rFonts w:ascii="Times New Roman" w:hAnsi="Times New Roman"/>
          <w:color w:val="000000" w:themeColor="text1"/>
          <w:sz w:val="18"/>
          <w:szCs w:val="18"/>
        </w:rPr>
        <w:t xml:space="preserve">, </w:t>
      </w:r>
      <w:r w:rsidRPr="001A7894">
        <w:rPr>
          <w:rFonts w:ascii="Times New Roman" w:hAnsi="Times New Roman"/>
          <w:color w:val="000000" w:themeColor="text1"/>
          <w:sz w:val="18"/>
          <w:szCs w:val="18"/>
          <w:u w:val="single"/>
        </w:rPr>
        <w:t>IDC</w:t>
      </w:r>
      <w:r w:rsidRPr="001A7894">
        <w:rPr>
          <w:rFonts w:ascii="Times New Roman" w:hAnsi="Times New Roman"/>
          <w:color w:val="000000" w:themeColor="text1"/>
          <w:sz w:val="18"/>
          <w:szCs w:val="18"/>
        </w:rPr>
        <w:t xml:space="preserve"> (Aug. 202</w:t>
      </w:r>
      <w:r>
        <w:rPr>
          <w:rFonts w:ascii="Times New Roman" w:hAnsi="Times New Roman"/>
          <w:color w:val="000000" w:themeColor="text1"/>
          <w:sz w:val="18"/>
          <w:szCs w:val="18"/>
        </w:rPr>
        <w:t>2</w:t>
      </w:r>
      <w:r w:rsidRPr="001A7894">
        <w:rPr>
          <w:rFonts w:ascii="Times New Roman" w:hAnsi="Times New Roman"/>
          <w:color w:val="000000" w:themeColor="text1"/>
          <w:sz w:val="18"/>
          <w:szCs w:val="18"/>
        </w:rPr>
        <w:t xml:space="preserve">) </w:t>
      </w:r>
    </w:p>
  </w:footnote>
  <w:footnote w:id="5">
    <w:p w14:paraId="45D26D7E" w14:textId="77777777" w:rsidR="00363CED" w:rsidRPr="001A7894" w:rsidRDefault="00363CED" w:rsidP="00363CED">
      <w:pPr>
        <w:rPr>
          <w:color w:val="000000" w:themeColor="text1"/>
          <w:sz w:val="18"/>
          <w:szCs w:val="18"/>
          <w:lang w:bidi="he-IL"/>
        </w:rPr>
      </w:pPr>
      <w:r w:rsidRPr="001A7894">
        <w:rPr>
          <w:rStyle w:val="FootnoteReference"/>
          <w:color w:val="000000" w:themeColor="text1"/>
          <w:sz w:val="18"/>
          <w:szCs w:val="18"/>
        </w:rPr>
        <w:footnoteRef/>
      </w:r>
      <w:r w:rsidRPr="001A7894">
        <w:rPr>
          <w:color w:val="000000" w:themeColor="text1"/>
          <w:sz w:val="18"/>
          <w:szCs w:val="18"/>
        </w:rPr>
        <w:t xml:space="preserve"> </w:t>
      </w:r>
      <w:r w:rsidRPr="001A7894">
        <w:rPr>
          <w:i/>
          <w:color w:val="000000" w:themeColor="text1"/>
          <w:sz w:val="18"/>
          <w:szCs w:val="18"/>
          <w:shd w:val="clear" w:color="auto" w:fill="FFFFFF"/>
        </w:rPr>
        <w:t>Data Annotation Tools Market</w:t>
      </w:r>
      <w:r>
        <w:rPr>
          <w:i/>
          <w:color w:val="000000" w:themeColor="text1"/>
          <w:sz w:val="18"/>
          <w:szCs w:val="18"/>
          <w:shd w:val="clear" w:color="auto" w:fill="FFFFFF"/>
        </w:rPr>
        <w:t>,</w:t>
      </w:r>
      <w:r w:rsidRPr="001A7894">
        <w:rPr>
          <w:i/>
          <w:color w:val="000000" w:themeColor="text1"/>
          <w:sz w:val="18"/>
          <w:szCs w:val="18"/>
          <w:shd w:val="clear" w:color="auto" w:fill="FFFFFF"/>
        </w:rPr>
        <w:t xml:space="preserve"> </w:t>
      </w:r>
      <w:r w:rsidRPr="002A1476">
        <w:rPr>
          <w:i/>
          <w:color w:val="000000" w:themeColor="text1"/>
          <w:sz w:val="18"/>
          <w:szCs w:val="18"/>
          <w:u w:val="single"/>
          <w:shd w:val="clear" w:color="auto" w:fill="FFFFFF"/>
        </w:rPr>
        <w:t>Global Market Insights</w:t>
      </w:r>
      <w:r w:rsidRPr="001A7894">
        <w:rPr>
          <w:color w:val="000000" w:themeColor="text1"/>
          <w:sz w:val="18"/>
          <w:szCs w:val="18"/>
          <w:shd w:val="clear" w:color="auto" w:fill="FFFFFF"/>
          <w:lang w:bidi="he-IL"/>
        </w:rPr>
        <w:t>, (</w:t>
      </w:r>
      <w:r>
        <w:rPr>
          <w:color w:val="000000" w:themeColor="text1"/>
          <w:sz w:val="18"/>
          <w:szCs w:val="18"/>
          <w:shd w:val="clear" w:color="auto" w:fill="FFFFFF"/>
          <w:lang w:bidi="he-IL"/>
        </w:rPr>
        <w:t>Feb</w:t>
      </w:r>
      <w:r w:rsidRPr="001A7894">
        <w:rPr>
          <w:color w:val="000000" w:themeColor="text1"/>
          <w:sz w:val="18"/>
          <w:szCs w:val="18"/>
          <w:shd w:val="clear" w:color="auto" w:fill="FFFFFF"/>
          <w:lang w:bidi="he-IL"/>
        </w:rPr>
        <w:t>. 202</w:t>
      </w:r>
      <w:r>
        <w:rPr>
          <w:color w:val="000000" w:themeColor="text1"/>
          <w:sz w:val="18"/>
          <w:szCs w:val="18"/>
          <w:shd w:val="clear" w:color="auto" w:fill="FFFFFF"/>
          <w:lang w:bidi="he-IL"/>
        </w:rPr>
        <w:t>2</w:t>
      </w:r>
      <w:r w:rsidRPr="001A7894">
        <w:rPr>
          <w:color w:val="000000" w:themeColor="text1"/>
          <w:sz w:val="18"/>
          <w:szCs w:val="18"/>
          <w:shd w:val="clear" w:color="auto" w:fill="FFFFFF"/>
          <w:lang w:bidi="he-IL"/>
        </w:rPr>
        <w:t>)</w:t>
      </w:r>
    </w:p>
  </w:footnote>
  <w:footnote w:id="6">
    <w:p w14:paraId="34BF6001" w14:textId="77777777" w:rsidR="00363CED" w:rsidRPr="001A7894" w:rsidRDefault="00363CED" w:rsidP="00363CED">
      <w:pPr>
        <w:pStyle w:val="FootnoteText"/>
        <w:rPr>
          <w:rFonts w:ascii="Times New Roman" w:hAnsi="Times New Roman"/>
          <w:color w:val="000000" w:themeColor="text1"/>
          <w:sz w:val="18"/>
          <w:szCs w:val="18"/>
        </w:rPr>
      </w:pPr>
      <w:r w:rsidRPr="001A7894">
        <w:rPr>
          <w:rStyle w:val="FootnoteReference"/>
          <w:rFonts w:ascii="Times New Roman" w:hAnsi="Times New Roman"/>
          <w:color w:val="000000" w:themeColor="text1"/>
          <w:sz w:val="18"/>
          <w:szCs w:val="18"/>
        </w:rPr>
        <w:footnoteRef/>
      </w:r>
      <w:r w:rsidRPr="001A7894">
        <w:rPr>
          <w:rFonts w:ascii="Times New Roman" w:hAnsi="Times New Roman"/>
          <w:color w:val="000000" w:themeColor="text1"/>
          <w:sz w:val="18"/>
          <w:szCs w:val="18"/>
        </w:rPr>
        <w:t xml:space="preserve"> </w:t>
      </w:r>
      <w:r w:rsidRPr="001A7894">
        <w:rPr>
          <w:rFonts w:ascii="Times New Roman" w:hAnsi="Times New Roman"/>
          <w:i/>
          <w:color w:val="000000" w:themeColor="text1"/>
          <w:sz w:val="18"/>
          <w:szCs w:val="18"/>
        </w:rPr>
        <w:t xml:space="preserve">Document Analytics </w:t>
      </w:r>
      <w:r>
        <w:rPr>
          <w:rFonts w:ascii="Times New Roman" w:hAnsi="Times New Roman"/>
          <w:i/>
          <w:color w:val="000000" w:themeColor="text1"/>
          <w:sz w:val="18"/>
          <w:szCs w:val="18"/>
        </w:rPr>
        <w:t xml:space="preserve">Global Market Report, </w:t>
      </w:r>
      <w:r w:rsidRPr="002A1476">
        <w:rPr>
          <w:rFonts w:ascii="Times New Roman" w:hAnsi="Times New Roman"/>
          <w:i/>
          <w:color w:val="000000" w:themeColor="text1"/>
          <w:sz w:val="18"/>
          <w:szCs w:val="18"/>
          <w:u w:val="single"/>
        </w:rPr>
        <w:t>Reportlinker Analytics</w:t>
      </w:r>
      <w:r>
        <w:rPr>
          <w:rFonts w:ascii="Times New Roman" w:hAnsi="Times New Roman"/>
          <w:i/>
          <w:color w:val="000000" w:themeColor="text1"/>
          <w:sz w:val="18"/>
          <w:szCs w:val="18"/>
        </w:rPr>
        <w:t xml:space="preserve"> </w:t>
      </w:r>
      <w:r w:rsidRPr="001A7894">
        <w:rPr>
          <w:rFonts w:ascii="Times New Roman" w:hAnsi="Times New Roman"/>
          <w:color w:val="000000" w:themeColor="text1"/>
          <w:sz w:val="18"/>
          <w:szCs w:val="18"/>
        </w:rPr>
        <w:t>(</w:t>
      </w:r>
      <w:r>
        <w:rPr>
          <w:rFonts w:ascii="Times New Roman" w:hAnsi="Times New Roman"/>
          <w:color w:val="000000" w:themeColor="text1"/>
          <w:sz w:val="18"/>
          <w:szCs w:val="18"/>
        </w:rPr>
        <w:t>Sept</w:t>
      </w:r>
      <w:r w:rsidRPr="001A7894">
        <w:rPr>
          <w:rFonts w:ascii="Times New Roman" w:hAnsi="Times New Roman"/>
          <w:color w:val="000000" w:themeColor="text1"/>
          <w:sz w:val="18"/>
          <w:szCs w:val="18"/>
        </w:rPr>
        <w:t>. 202</w:t>
      </w:r>
      <w:r>
        <w:rPr>
          <w:rFonts w:ascii="Times New Roman" w:hAnsi="Times New Roman"/>
          <w:color w:val="000000" w:themeColor="text1"/>
          <w:sz w:val="18"/>
          <w:szCs w:val="18"/>
        </w:rPr>
        <w:t>2</w:t>
      </w:r>
      <w:r w:rsidRPr="001A7894">
        <w:rPr>
          <w:rFonts w:ascii="Times New Roman" w:hAnsi="Times New Roman"/>
          <w:color w:val="000000" w:themeColor="text1"/>
          <w:sz w:val="18"/>
          <w:szCs w:val="18"/>
        </w:rPr>
        <w:t>)</w:t>
      </w:r>
    </w:p>
  </w:footnote>
  <w:footnote w:id="7">
    <w:p w14:paraId="2CD2C90D" w14:textId="77777777" w:rsidR="00363CED" w:rsidRPr="001A7894" w:rsidRDefault="00363CED" w:rsidP="00363CED">
      <w:pPr>
        <w:pStyle w:val="FootnoteText"/>
        <w:rPr>
          <w:rFonts w:ascii="Times New Roman" w:hAnsi="Times New Roman"/>
          <w:color w:val="000000" w:themeColor="text1"/>
          <w:sz w:val="18"/>
          <w:szCs w:val="18"/>
        </w:rPr>
      </w:pPr>
      <w:r w:rsidRPr="001A7894">
        <w:rPr>
          <w:rStyle w:val="FootnoteReference"/>
          <w:rFonts w:ascii="Times New Roman" w:hAnsi="Times New Roman"/>
          <w:color w:val="000000" w:themeColor="text1"/>
          <w:sz w:val="18"/>
          <w:szCs w:val="18"/>
        </w:rPr>
        <w:footnoteRef/>
      </w:r>
      <w:r w:rsidRPr="001A7894">
        <w:rPr>
          <w:rFonts w:ascii="Times New Roman" w:hAnsi="Times New Roman"/>
          <w:color w:val="000000" w:themeColor="text1"/>
          <w:sz w:val="18"/>
          <w:szCs w:val="18"/>
        </w:rPr>
        <w:t xml:space="preserve"> </w:t>
      </w:r>
      <w:r w:rsidRPr="00CC6687">
        <w:rPr>
          <w:rFonts w:ascii="Times New Roman" w:hAnsi="Times New Roman"/>
          <w:i/>
          <w:color w:val="000000" w:themeColor="text1"/>
          <w:sz w:val="18"/>
          <w:szCs w:val="18"/>
        </w:rPr>
        <w:t xml:space="preserve">Enterprise Artificial Intelligence (AI) Market, </w:t>
      </w:r>
      <w:r>
        <w:rPr>
          <w:rFonts w:ascii="Times New Roman" w:hAnsi="Times New Roman"/>
          <w:color w:val="000000" w:themeColor="text1"/>
          <w:sz w:val="18"/>
          <w:szCs w:val="18"/>
          <w:u w:val="single"/>
        </w:rPr>
        <w:t>Precedence Research</w:t>
      </w:r>
      <w:r w:rsidRPr="00CC6687">
        <w:rPr>
          <w:rFonts w:ascii="Times New Roman" w:hAnsi="Times New Roman"/>
          <w:color w:val="000000" w:themeColor="text1"/>
          <w:sz w:val="18"/>
          <w:szCs w:val="18"/>
        </w:rPr>
        <w:t xml:space="preserve"> (</w:t>
      </w:r>
      <w:r>
        <w:rPr>
          <w:rFonts w:ascii="Times New Roman" w:hAnsi="Times New Roman"/>
          <w:color w:val="000000" w:themeColor="text1"/>
          <w:sz w:val="18"/>
          <w:szCs w:val="18"/>
        </w:rPr>
        <w:t>Nov. 2022</w:t>
      </w:r>
      <w:r w:rsidRPr="00CC6687">
        <w:rPr>
          <w:rFonts w:ascii="Times New Roman" w:hAnsi="Times New Roman"/>
          <w:color w:val="000000" w:themeColor="text1"/>
          <w:sz w:val="18"/>
          <w:szCs w:val="18"/>
        </w:rPr>
        <w:t>)</w:t>
      </w:r>
    </w:p>
  </w:footnote>
  <w:footnote w:id="8">
    <w:p w14:paraId="2D77C487" w14:textId="77777777" w:rsidR="00363CED" w:rsidRPr="001A7894" w:rsidRDefault="00363CED" w:rsidP="00363CED">
      <w:pPr>
        <w:pStyle w:val="FootnoteText"/>
        <w:rPr>
          <w:rFonts w:ascii="Times New Roman" w:hAnsi="Times New Roman"/>
          <w:sz w:val="18"/>
          <w:szCs w:val="18"/>
        </w:rPr>
      </w:pPr>
      <w:r w:rsidRPr="001A7894">
        <w:rPr>
          <w:rStyle w:val="FootnoteReference"/>
          <w:rFonts w:ascii="Times New Roman" w:hAnsi="Times New Roman"/>
          <w:sz w:val="18"/>
          <w:szCs w:val="18"/>
        </w:rPr>
        <w:footnoteRef/>
      </w:r>
      <w:r w:rsidRPr="001A7894">
        <w:rPr>
          <w:rFonts w:ascii="Times New Roman" w:hAnsi="Times New Roman"/>
          <w:sz w:val="18"/>
          <w:szCs w:val="18"/>
        </w:rPr>
        <w:t xml:space="preserve"> </w:t>
      </w:r>
      <w:r w:rsidRPr="001A7894">
        <w:rPr>
          <w:rFonts w:ascii="Times New Roman" w:hAnsi="Times New Roman"/>
          <w:i/>
          <w:sz w:val="18"/>
          <w:szCs w:val="18"/>
        </w:rPr>
        <w:t>Artificial Intelligence In Healthcare Market</w:t>
      </w:r>
      <w:r w:rsidRPr="001A7894">
        <w:rPr>
          <w:rFonts w:ascii="Times New Roman" w:hAnsi="Times New Roman"/>
          <w:sz w:val="18"/>
          <w:szCs w:val="18"/>
        </w:rPr>
        <w:t xml:space="preserve">, </w:t>
      </w:r>
      <w:r w:rsidRPr="001A7894">
        <w:rPr>
          <w:rFonts w:ascii="Times New Roman" w:hAnsi="Times New Roman"/>
          <w:sz w:val="18"/>
          <w:szCs w:val="18"/>
          <w:u w:val="single"/>
        </w:rPr>
        <w:t>Markets</w:t>
      </w:r>
      <w:r>
        <w:rPr>
          <w:rFonts w:ascii="Times New Roman" w:hAnsi="Times New Roman"/>
          <w:sz w:val="18"/>
          <w:szCs w:val="18"/>
          <w:u w:val="single"/>
        </w:rPr>
        <w:t xml:space="preserve"> </w:t>
      </w:r>
      <w:r w:rsidRPr="001A7894">
        <w:rPr>
          <w:rFonts w:ascii="Times New Roman" w:hAnsi="Times New Roman"/>
          <w:sz w:val="18"/>
          <w:szCs w:val="18"/>
          <w:u w:val="single"/>
        </w:rPr>
        <w:t>and</w:t>
      </w:r>
      <w:r>
        <w:rPr>
          <w:rFonts w:ascii="Times New Roman" w:hAnsi="Times New Roman"/>
          <w:sz w:val="18"/>
          <w:szCs w:val="18"/>
          <w:u w:val="single"/>
        </w:rPr>
        <w:t xml:space="preserve"> </w:t>
      </w:r>
      <w:r w:rsidRPr="001A7894">
        <w:rPr>
          <w:rFonts w:ascii="Times New Roman" w:hAnsi="Times New Roman"/>
          <w:sz w:val="18"/>
          <w:szCs w:val="18"/>
          <w:u w:val="single"/>
        </w:rPr>
        <w:t>Markets Research Private Ltd.</w:t>
      </w:r>
      <w:r>
        <w:rPr>
          <w:rFonts w:ascii="Times New Roman" w:hAnsi="Times New Roman"/>
          <w:sz w:val="18"/>
          <w:szCs w:val="18"/>
          <w:u w:val="single"/>
        </w:rPr>
        <w:t xml:space="preserve"> </w:t>
      </w:r>
      <w:r w:rsidRPr="001A7894">
        <w:rPr>
          <w:rFonts w:ascii="Times New Roman" w:hAnsi="Times New Roman"/>
          <w:sz w:val="18"/>
          <w:szCs w:val="18"/>
        </w:rPr>
        <w:t>(</w:t>
      </w:r>
      <w:r>
        <w:rPr>
          <w:rFonts w:ascii="Times New Roman" w:hAnsi="Times New Roman"/>
          <w:sz w:val="18"/>
          <w:szCs w:val="18"/>
        </w:rPr>
        <w:t>Jan. 2023</w:t>
      </w:r>
      <w:r w:rsidRPr="001A7894">
        <w:rPr>
          <w:rFonts w:ascii="Times New Roman" w:hAnsi="Times New Roman"/>
          <w:sz w:val="18"/>
          <w:szCs w:val="18"/>
        </w:rPr>
        <w:t xml:space="preserve">) </w:t>
      </w:r>
    </w:p>
  </w:footnote>
  <w:footnote w:id="9">
    <w:p w14:paraId="66BB297C" w14:textId="77777777" w:rsidR="00363CED" w:rsidRPr="00CD1BDC" w:rsidRDefault="00363CED" w:rsidP="00363CED">
      <w:pPr>
        <w:rPr>
          <w:sz w:val="18"/>
          <w:szCs w:val="18"/>
        </w:rPr>
      </w:pPr>
      <w:r w:rsidRPr="001A7894">
        <w:rPr>
          <w:rStyle w:val="FootnoteReference"/>
          <w:sz w:val="18"/>
          <w:szCs w:val="18"/>
        </w:rPr>
        <w:footnoteRef/>
      </w:r>
      <w:r w:rsidRPr="001A7894">
        <w:rPr>
          <w:sz w:val="18"/>
          <w:szCs w:val="18"/>
        </w:rPr>
        <w:t xml:space="preserve"> </w:t>
      </w:r>
      <w:hyperlink r:id="rId1" w:tooltip="https://www.agilitypr.com/wp-content/uploads/2023/02/G2-Comparison.pdf" w:history="1">
        <w:r w:rsidRPr="004F4B4D">
          <w:rPr>
            <w:rStyle w:val="Hyperlink"/>
            <w:color w:val="0078D7"/>
            <w:sz w:val="18"/>
            <w:szCs w:val="18"/>
          </w:rPr>
          <w:t>https://www.agilitypr.com/wp-content/uploads/2023/02/G2-Comparison.pdf</w:t>
        </w:r>
      </w:hyperlink>
    </w:p>
  </w:footnote>
  <w:footnote w:id="10">
    <w:p w14:paraId="35336DF6" w14:textId="77777777" w:rsidR="00363CED" w:rsidRPr="001A7894" w:rsidRDefault="00363CED" w:rsidP="00363CED">
      <w:pPr>
        <w:pStyle w:val="FootnoteText"/>
        <w:rPr>
          <w:rFonts w:ascii="Times New Roman" w:hAnsi="Times New Roman"/>
          <w:sz w:val="18"/>
          <w:szCs w:val="18"/>
        </w:rPr>
      </w:pPr>
      <w:r w:rsidRPr="001A7894">
        <w:rPr>
          <w:rStyle w:val="FootnoteReference"/>
          <w:rFonts w:ascii="Times New Roman" w:hAnsi="Times New Roman"/>
          <w:sz w:val="18"/>
          <w:szCs w:val="18"/>
        </w:rPr>
        <w:footnoteRef/>
      </w:r>
      <w:r w:rsidRPr="001A7894">
        <w:rPr>
          <w:rFonts w:ascii="Times New Roman" w:hAnsi="Times New Roman"/>
          <w:sz w:val="18"/>
          <w:szCs w:val="18"/>
        </w:rPr>
        <w:t xml:space="preserve"> </w:t>
      </w:r>
      <w:r w:rsidRPr="001A7894">
        <w:rPr>
          <w:rFonts w:ascii="Times New Roman" w:hAnsi="Times New Roman"/>
          <w:i/>
          <w:iCs/>
          <w:sz w:val="18"/>
          <w:szCs w:val="18"/>
        </w:rPr>
        <w:t>Strong Growth in Spending on</w:t>
      </w:r>
      <w:r w:rsidRPr="001A7894">
        <w:rPr>
          <w:rFonts w:ascii="Times New Roman" w:hAnsi="Times New Roman"/>
          <w:i/>
          <w:sz w:val="18"/>
          <w:szCs w:val="18"/>
        </w:rPr>
        <w:t xml:space="preserve"> </w:t>
      </w:r>
      <w:r w:rsidRPr="001A7894">
        <w:rPr>
          <w:rFonts w:ascii="Times New Roman" w:hAnsi="Times New Roman"/>
          <w:i/>
          <w:iCs/>
          <w:sz w:val="18"/>
          <w:szCs w:val="18"/>
        </w:rPr>
        <w:t xml:space="preserve">Media Intelligence Software &amp; Information – Burton-Taylor Report, </w:t>
      </w:r>
      <w:r w:rsidRPr="001A7894">
        <w:rPr>
          <w:rFonts w:ascii="Times New Roman" w:hAnsi="Times New Roman"/>
          <w:sz w:val="18"/>
          <w:szCs w:val="18"/>
          <w:u w:val="single"/>
        </w:rPr>
        <w:t>Burton-Taylor International Consulting</w:t>
      </w:r>
      <w:r w:rsidRPr="001A7894">
        <w:rPr>
          <w:rFonts w:ascii="Times New Roman" w:hAnsi="Times New Roman"/>
          <w:sz w:val="18"/>
          <w:szCs w:val="18"/>
        </w:rPr>
        <w:t>, (Apr. 202</w:t>
      </w:r>
      <w:r>
        <w:rPr>
          <w:rFonts w:ascii="Times New Roman" w:hAnsi="Times New Roman"/>
          <w:sz w:val="18"/>
          <w:szCs w:val="18"/>
        </w:rPr>
        <w:t>2</w:t>
      </w:r>
      <w:r w:rsidRPr="001A7894">
        <w:rPr>
          <w:rFonts w:ascii="Times New Roman" w:hAnsi="Times New Roman"/>
          <w:sz w:val="18"/>
          <w:szCs w:val="18"/>
        </w:rPr>
        <w:t>)</w:t>
      </w:r>
    </w:p>
  </w:footnote>
  <w:footnote w:id="11">
    <w:p w14:paraId="110E5022" w14:textId="77777777" w:rsidR="00363CED" w:rsidRPr="002A1476" w:rsidRDefault="00363CED" w:rsidP="00363CED">
      <w:pPr>
        <w:pStyle w:val="FootnoteText"/>
        <w:rPr>
          <w:rFonts w:ascii="Times New Roman" w:hAnsi="Times New Roman"/>
          <w:i/>
          <w:color w:val="000000" w:themeColor="text1"/>
          <w:sz w:val="18"/>
          <w:szCs w:val="18"/>
        </w:rPr>
      </w:pPr>
      <w:r>
        <w:rPr>
          <w:rStyle w:val="FootnoteReference"/>
        </w:rPr>
        <w:footnoteRef/>
      </w:r>
      <w:r>
        <w:t xml:space="preserve"> </w:t>
      </w:r>
      <w:r w:rsidRPr="002A1476">
        <w:rPr>
          <w:rFonts w:ascii="Times New Roman" w:hAnsi="Times New Roman"/>
          <w:i/>
          <w:color w:val="000000" w:themeColor="text1"/>
          <w:sz w:val="18"/>
          <w:szCs w:val="18"/>
        </w:rPr>
        <w:t>https://www.forbes.com/sites/glenngow/2021/07/11/google-facebook-and-microsoft-are-working-on-ai-ethics-heres-what-your-company-should-be-doing/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DCA" w14:textId="77777777" w:rsidR="006C5992" w:rsidRDefault="006C5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DF6A" w14:textId="77777777" w:rsidR="006C5992" w:rsidRDefault="006C5992" w:rsidP="00B5358B">
    <w:pPr>
      <w:tabs>
        <w:tab w:val="left" w:pos="-720"/>
      </w:tabs>
      <w:suppressAutoHyphens/>
      <w:spacing w:line="240" w:lineRule="atLeast"/>
      <w:ind w:right="180"/>
      <w:jc w:val="center"/>
      <w:rPr>
        <w:b/>
        <w:bCs/>
        <w:spacing w:val="-2"/>
      </w:rPr>
    </w:pPr>
    <w:r>
      <w:rPr>
        <w:b/>
        <w:bCs/>
        <w:spacing w:val="-2"/>
      </w:rPr>
      <w:t>INNODATA INC. AND SUBSIDIARIES</w:t>
    </w:r>
  </w:p>
  <w:p w14:paraId="7923B574" w14:textId="49BE8856" w:rsidR="006C5992" w:rsidRDefault="006C5992" w:rsidP="00B5358B">
    <w:pPr>
      <w:tabs>
        <w:tab w:val="left" w:pos="-720"/>
      </w:tabs>
      <w:suppressAutoHyphens/>
      <w:spacing w:line="240" w:lineRule="atLeast"/>
      <w:ind w:right="180"/>
      <w:jc w:val="center"/>
      <w:rPr>
        <w:b/>
        <w:bCs/>
        <w:spacing w:val="-2"/>
      </w:rPr>
    </w:pPr>
    <w:r>
      <w:rPr>
        <w:b/>
        <w:bCs/>
        <w:spacing w:val="-2"/>
      </w:rPr>
      <w:t>NOTES TO CONSOLIDATED FINANCIAL STATEMENTS</w:t>
    </w:r>
  </w:p>
  <w:p w14:paraId="69F51C13" w14:textId="4BBAA3BF" w:rsidR="006C5992" w:rsidRPr="00501AD3" w:rsidRDefault="00440E2B" w:rsidP="00501AD3">
    <w:pPr>
      <w:tabs>
        <w:tab w:val="left" w:pos="-720"/>
      </w:tabs>
      <w:suppressAutoHyphens/>
      <w:spacing w:line="240" w:lineRule="atLeast"/>
      <w:ind w:right="180"/>
      <w:jc w:val="center"/>
      <w:rPr>
        <w:b/>
        <w:bCs/>
        <w:spacing w:val="-2"/>
      </w:rPr>
    </w:pPr>
    <w:r w:rsidRPr="00501AD3">
      <w:rPr>
        <w:b/>
        <w:bCs/>
        <w:spacing w:val="-2"/>
      </w:rPr>
      <w:t>YEARS ENDED DECEMBER 31, 2022 AND 2021</w:t>
    </w:r>
  </w:p>
  <w:p w14:paraId="29E60C0A" w14:textId="2AC03018" w:rsidR="006C5992" w:rsidRDefault="006C5992" w:rsidP="002C4686">
    <w:pPr>
      <w:pStyle w:val="Header"/>
      <w:tabs>
        <w:tab w:val="clear" w:pos="4320"/>
        <w:tab w:val="clear" w:pos="8640"/>
        <w:tab w:val="left" w:pos="21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A6D5" w14:textId="77777777" w:rsidR="006C5992" w:rsidRDefault="006C5992" w:rsidP="002C4686">
    <w:pPr>
      <w:pStyle w:val="Header"/>
      <w:tabs>
        <w:tab w:val="clear" w:pos="4320"/>
        <w:tab w:val="clear" w:pos="8640"/>
        <w:tab w:val="left" w:pos="2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949"/>
    <w:multiLevelType w:val="hybridMultilevel"/>
    <w:tmpl w:val="6CDE22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1856F4"/>
    <w:multiLevelType w:val="hybridMultilevel"/>
    <w:tmpl w:val="327AC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DF55A5"/>
    <w:multiLevelType w:val="hybridMultilevel"/>
    <w:tmpl w:val="F5DEC6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5A224C"/>
    <w:multiLevelType w:val="hybridMultilevel"/>
    <w:tmpl w:val="C582A3F0"/>
    <w:lvl w:ilvl="0" w:tplc="3409000B">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 w15:restartNumberingAfterBreak="0">
    <w:nsid w:val="10623548"/>
    <w:multiLevelType w:val="hybridMultilevel"/>
    <w:tmpl w:val="48EE47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0E28BA"/>
    <w:multiLevelType w:val="hybridMultilevel"/>
    <w:tmpl w:val="A7C0E434"/>
    <w:lvl w:ilvl="0" w:tplc="23F6F834">
      <w:numFmt w:val="bullet"/>
      <w:lvlText w:val="-"/>
      <w:lvlJc w:val="left"/>
      <w:pPr>
        <w:ind w:left="720" w:hanging="360"/>
      </w:pPr>
      <w:rPr>
        <w:rFonts w:ascii="Times Roman" w:eastAsia="Times New Roman" w:hAnsi="Times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3940B7"/>
    <w:multiLevelType w:val="hybridMultilevel"/>
    <w:tmpl w:val="A1B8B2BC"/>
    <w:lvl w:ilvl="0" w:tplc="63426B06">
      <w:start w:val="8"/>
      <w:numFmt w:val="decimal"/>
      <w:lvlText w:val="%1."/>
      <w:lvlJc w:val="left"/>
      <w:pPr>
        <w:tabs>
          <w:tab w:val="num" w:pos="360"/>
        </w:tabs>
        <w:ind w:left="36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A8942AC"/>
    <w:multiLevelType w:val="hybridMultilevel"/>
    <w:tmpl w:val="300ECF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D30453"/>
    <w:multiLevelType w:val="hybridMultilevel"/>
    <w:tmpl w:val="38CC7DF4"/>
    <w:lvl w:ilvl="0" w:tplc="04090001">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E3DC9"/>
    <w:multiLevelType w:val="hybridMultilevel"/>
    <w:tmpl w:val="248A3A3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0" w15:restartNumberingAfterBreak="0">
    <w:nsid w:val="232049C7"/>
    <w:multiLevelType w:val="hybridMultilevel"/>
    <w:tmpl w:val="4782C1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5D807C0"/>
    <w:multiLevelType w:val="hybridMultilevel"/>
    <w:tmpl w:val="F4F2A0CA"/>
    <w:lvl w:ilvl="0" w:tplc="40090003">
      <w:start w:val="1"/>
      <w:numFmt w:val="bullet"/>
      <w:lvlText w:val="o"/>
      <w:lvlJc w:val="left"/>
      <w:pPr>
        <w:ind w:left="1080" w:hanging="360"/>
      </w:pPr>
      <w:rPr>
        <w:rFonts w:ascii="Courier New" w:hAnsi="Courier New" w:cs="Courier New"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2" w15:restartNumberingAfterBreak="0">
    <w:nsid w:val="27215195"/>
    <w:multiLevelType w:val="hybridMultilevel"/>
    <w:tmpl w:val="7A02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D08F1"/>
    <w:multiLevelType w:val="hybridMultilevel"/>
    <w:tmpl w:val="FAD6A2E6"/>
    <w:lvl w:ilvl="0" w:tplc="9F0C0012">
      <w:start w:val="1"/>
      <w:numFmt w:val="lowerRoman"/>
      <w:lvlText w:val="(%1)"/>
      <w:lvlJc w:val="left"/>
      <w:pPr>
        <w:ind w:left="2340" w:hanging="72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2FBF7D06"/>
    <w:multiLevelType w:val="hybridMultilevel"/>
    <w:tmpl w:val="5FF00888"/>
    <w:lvl w:ilvl="0" w:tplc="622CB6AC">
      <w:start w:val="1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05456"/>
    <w:multiLevelType w:val="hybridMultilevel"/>
    <w:tmpl w:val="FAD6A2E6"/>
    <w:lvl w:ilvl="0" w:tplc="9F0C0012">
      <w:start w:val="1"/>
      <w:numFmt w:val="lowerRoman"/>
      <w:lvlText w:val="(%1)"/>
      <w:lvlJc w:val="left"/>
      <w:pPr>
        <w:ind w:left="2340" w:hanging="72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361F74F2"/>
    <w:multiLevelType w:val="hybridMultilevel"/>
    <w:tmpl w:val="DEA289CC"/>
    <w:lvl w:ilvl="0" w:tplc="B41E7E0A">
      <w:start w:val="2"/>
      <w:numFmt w:val="bullet"/>
      <w:lvlText w:val="-"/>
      <w:lvlJc w:val="left"/>
      <w:pPr>
        <w:ind w:left="720" w:hanging="360"/>
      </w:pPr>
      <w:rPr>
        <w:rFonts w:ascii="Times Roman" w:eastAsia="Times New Roman" w:hAnsi="Times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B7102"/>
    <w:multiLevelType w:val="hybridMultilevel"/>
    <w:tmpl w:val="439AD996"/>
    <w:lvl w:ilvl="0" w:tplc="75EC6678">
      <w:start w:val="1"/>
      <w:numFmt w:val="lowerLetter"/>
      <w:lvlText w:val="%1)"/>
      <w:lvlJc w:val="left"/>
      <w:pPr>
        <w:tabs>
          <w:tab w:val="num" w:pos="1296"/>
        </w:tabs>
        <w:ind w:left="1296" w:hanging="576"/>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F9DE79F4">
      <w:start w:val="1"/>
      <w:numFmt w:val="decimal"/>
      <w:lvlText w:val="%3."/>
      <w:lvlJc w:val="left"/>
      <w:pPr>
        <w:tabs>
          <w:tab w:val="num" w:pos="3060"/>
        </w:tabs>
        <w:ind w:left="3060" w:hanging="720"/>
      </w:pPr>
      <w:rPr>
        <w:rFonts w:hint="default"/>
      </w:rPr>
    </w:lvl>
    <w:lvl w:ilvl="3" w:tplc="75EC6678">
      <w:start w:val="1"/>
      <w:numFmt w:val="lowerLetter"/>
      <w:lvlText w:val="%4)"/>
      <w:lvlJc w:val="left"/>
      <w:pPr>
        <w:tabs>
          <w:tab w:val="num" w:pos="3456"/>
        </w:tabs>
        <w:ind w:left="3456" w:hanging="576"/>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5D282C"/>
    <w:multiLevelType w:val="hybridMultilevel"/>
    <w:tmpl w:val="9F421AD2"/>
    <w:lvl w:ilvl="0" w:tplc="6F7C6E9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2777A7"/>
    <w:multiLevelType w:val="hybridMultilevel"/>
    <w:tmpl w:val="361E66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44651B17"/>
    <w:multiLevelType w:val="hybridMultilevel"/>
    <w:tmpl w:val="2A8EE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95B3B"/>
    <w:multiLevelType w:val="hybridMultilevel"/>
    <w:tmpl w:val="CD4A0EF4"/>
    <w:lvl w:ilvl="0" w:tplc="827A0A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56698"/>
    <w:multiLevelType w:val="hybridMultilevel"/>
    <w:tmpl w:val="926EF808"/>
    <w:lvl w:ilvl="0" w:tplc="04090019">
      <w:start w:val="1"/>
      <w:numFmt w:val="lowerLetter"/>
      <w:lvlText w:val="%1."/>
      <w:lvlJc w:val="left"/>
      <w:pPr>
        <w:ind w:left="2764" w:hanging="360"/>
      </w:pPr>
    </w:lvl>
    <w:lvl w:ilvl="1" w:tplc="04090019" w:tentative="1">
      <w:start w:val="1"/>
      <w:numFmt w:val="lowerLetter"/>
      <w:lvlText w:val="%2."/>
      <w:lvlJc w:val="left"/>
      <w:pPr>
        <w:ind w:left="3484" w:hanging="360"/>
      </w:pPr>
    </w:lvl>
    <w:lvl w:ilvl="2" w:tplc="0409001B" w:tentative="1">
      <w:start w:val="1"/>
      <w:numFmt w:val="lowerRoman"/>
      <w:lvlText w:val="%3."/>
      <w:lvlJc w:val="right"/>
      <w:pPr>
        <w:ind w:left="4204" w:hanging="180"/>
      </w:pPr>
    </w:lvl>
    <w:lvl w:ilvl="3" w:tplc="0409000F" w:tentative="1">
      <w:start w:val="1"/>
      <w:numFmt w:val="decimal"/>
      <w:lvlText w:val="%4."/>
      <w:lvlJc w:val="left"/>
      <w:pPr>
        <w:ind w:left="4924" w:hanging="360"/>
      </w:pPr>
    </w:lvl>
    <w:lvl w:ilvl="4" w:tplc="04090019" w:tentative="1">
      <w:start w:val="1"/>
      <w:numFmt w:val="lowerLetter"/>
      <w:lvlText w:val="%5."/>
      <w:lvlJc w:val="left"/>
      <w:pPr>
        <w:ind w:left="5644" w:hanging="360"/>
      </w:pPr>
    </w:lvl>
    <w:lvl w:ilvl="5" w:tplc="0409001B" w:tentative="1">
      <w:start w:val="1"/>
      <w:numFmt w:val="lowerRoman"/>
      <w:lvlText w:val="%6."/>
      <w:lvlJc w:val="right"/>
      <w:pPr>
        <w:ind w:left="6364" w:hanging="180"/>
      </w:pPr>
    </w:lvl>
    <w:lvl w:ilvl="6" w:tplc="0409000F" w:tentative="1">
      <w:start w:val="1"/>
      <w:numFmt w:val="decimal"/>
      <w:lvlText w:val="%7."/>
      <w:lvlJc w:val="left"/>
      <w:pPr>
        <w:ind w:left="7084" w:hanging="360"/>
      </w:pPr>
    </w:lvl>
    <w:lvl w:ilvl="7" w:tplc="04090019" w:tentative="1">
      <w:start w:val="1"/>
      <w:numFmt w:val="lowerLetter"/>
      <w:lvlText w:val="%8."/>
      <w:lvlJc w:val="left"/>
      <w:pPr>
        <w:ind w:left="7804" w:hanging="360"/>
      </w:pPr>
    </w:lvl>
    <w:lvl w:ilvl="8" w:tplc="0409001B" w:tentative="1">
      <w:start w:val="1"/>
      <w:numFmt w:val="lowerRoman"/>
      <w:lvlText w:val="%9."/>
      <w:lvlJc w:val="right"/>
      <w:pPr>
        <w:ind w:left="8524" w:hanging="180"/>
      </w:pPr>
    </w:lvl>
  </w:abstractNum>
  <w:abstractNum w:abstractNumId="23" w15:restartNumberingAfterBreak="0">
    <w:nsid w:val="4E567B4F"/>
    <w:multiLevelType w:val="hybridMultilevel"/>
    <w:tmpl w:val="364A1C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216F70"/>
    <w:multiLevelType w:val="hybridMultilevel"/>
    <w:tmpl w:val="F8F0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22B0F"/>
    <w:multiLevelType w:val="hybridMultilevel"/>
    <w:tmpl w:val="F2346C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92370A"/>
    <w:multiLevelType w:val="hybridMultilevel"/>
    <w:tmpl w:val="9530C72E"/>
    <w:lvl w:ilvl="0" w:tplc="0409000F">
      <w:start w:val="1"/>
      <w:numFmt w:val="decimal"/>
      <w:lvlText w:val="%1."/>
      <w:lvlJc w:val="left"/>
      <w:pPr>
        <w:ind w:left="5652" w:hanging="360"/>
      </w:pPr>
    </w:lvl>
    <w:lvl w:ilvl="1" w:tplc="04090019" w:tentative="1">
      <w:start w:val="1"/>
      <w:numFmt w:val="lowerLetter"/>
      <w:lvlText w:val="%2."/>
      <w:lvlJc w:val="left"/>
      <w:pPr>
        <w:ind w:left="6372" w:hanging="360"/>
      </w:pPr>
    </w:lvl>
    <w:lvl w:ilvl="2" w:tplc="0409001B" w:tentative="1">
      <w:start w:val="1"/>
      <w:numFmt w:val="lowerRoman"/>
      <w:lvlText w:val="%3."/>
      <w:lvlJc w:val="right"/>
      <w:pPr>
        <w:ind w:left="7092" w:hanging="180"/>
      </w:pPr>
    </w:lvl>
    <w:lvl w:ilvl="3" w:tplc="0409000F" w:tentative="1">
      <w:start w:val="1"/>
      <w:numFmt w:val="decimal"/>
      <w:lvlText w:val="%4."/>
      <w:lvlJc w:val="left"/>
      <w:pPr>
        <w:ind w:left="7812" w:hanging="360"/>
      </w:pPr>
    </w:lvl>
    <w:lvl w:ilvl="4" w:tplc="04090019" w:tentative="1">
      <w:start w:val="1"/>
      <w:numFmt w:val="lowerLetter"/>
      <w:lvlText w:val="%5."/>
      <w:lvlJc w:val="left"/>
      <w:pPr>
        <w:ind w:left="8532" w:hanging="360"/>
      </w:pPr>
    </w:lvl>
    <w:lvl w:ilvl="5" w:tplc="0409001B" w:tentative="1">
      <w:start w:val="1"/>
      <w:numFmt w:val="lowerRoman"/>
      <w:lvlText w:val="%6."/>
      <w:lvlJc w:val="right"/>
      <w:pPr>
        <w:ind w:left="9252" w:hanging="180"/>
      </w:pPr>
    </w:lvl>
    <w:lvl w:ilvl="6" w:tplc="0409000F" w:tentative="1">
      <w:start w:val="1"/>
      <w:numFmt w:val="decimal"/>
      <w:lvlText w:val="%7."/>
      <w:lvlJc w:val="left"/>
      <w:pPr>
        <w:ind w:left="9972" w:hanging="360"/>
      </w:pPr>
    </w:lvl>
    <w:lvl w:ilvl="7" w:tplc="04090019" w:tentative="1">
      <w:start w:val="1"/>
      <w:numFmt w:val="lowerLetter"/>
      <w:lvlText w:val="%8."/>
      <w:lvlJc w:val="left"/>
      <w:pPr>
        <w:ind w:left="10692" w:hanging="360"/>
      </w:pPr>
    </w:lvl>
    <w:lvl w:ilvl="8" w:tplc="0409001B" w:tentative="1">
      <w:start w:val="1"/>
      <w:numFmt w:val="lowerRoman"/>
      <w:lvlText w:val="%9."/>
      <w:lvlJc w:val="right"/>
      <w:pPr>
        <w:ind w:left="11412" w:hanging="180"/>
      </w:pPr>
    </w:lvl>
  </w:abstractNum>
  <w:abstractNum w:abstractNumId="27" w15:restartNumberingAfterBreak="0">
    <w:nsid w:val="58B3154C"/>
    <w:multiLevelType w:val="hybridMultilevel"/>
    <w:tmpl w:val="7E528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CA313B"/>
    <w:multiLevelType w:val="hybridMultilevel"/>
    <w:tmpl w:val="AE64AE2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63772153"/>
    <w:multiLevelType w:val="hybridMultilevel"/>
    <w:tmpl w:val="2B049A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89407B"/>
    <w:multiLevelType w:val="hybridMultilevel"/>
    <w:tmpl w:val="7E2A7F92"/>
    <w:lvl w:ilvl="0" w:tplc="8DD488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6FAC"/>
    <w:multiLevelType w:val="hybridMultilevel"/>
    <w:tmpl w:val="E7FE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773D89"/>
    <w:multiLevelType w:val="hybridMultilevel"/>
    <w:tmpl w:val="D0665610"/>
    <w:lvl w:ilvl="0" w:tplc="D08C24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4307C5"/>
    <w:multiLevelType w:val="multilevel"/>
    <w:tmpl w:val="7FE6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D93C98"/>
    <w:multiLevelType w:val="hybridMultilevel"/>
    <w:tmpl w:val="CB1C7D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D84B97"/>
    <w:multiLevelType w:val="hybridMultilevel"/>
    <w:tmpl w:val="30D49CBA"/>
    <w:lvl w:ilvl="0" w:tplc="75EC6678">
      <w:start w:val="1"/>
      <w:numFmt w:val="lowerLetter"/>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CF57E6"/>
    <w:multiLevelType w:val="hybridMultilevel"/>
    <w:tmpl w:val="9C88854C"/>
    <w:lvl w:ilvl="0" w:tplc="75EC6678">
      <w:start w:val="1"/>
      <w:numFmt w:val="lowerLetter"/>
      <w:lvlText w:val="%1)"/>
      <w:lvlJc w:val="left"/>
      <w:pPr>
        <w:tabs>
          <w:tab w:val="num" w:pos="1296"/>
        </w:tabs>
        <w:ind w:left="1296" w:hanging="576"/>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9DD78CB"/>
    <w:multiLevelType w:val="hybridMultilevel"/>
    <w:tmpl w:val="DC16D8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2"/>
  </w:num>
  <w:num w:numId="2">
    <w:abstractNumId w:val="17"/>
  </w:num>
  <w:num w:numId="3">
    <w:abstractNumId w:val="28"/>
  </w:num>
  <w:num w:numId="4">
    <w:abstractNumId w:val="18"/>
  </w:num>
  <w:num w:numId="5">
    <w:abstractNumId w:val="36"/>
  </w:num>
  <w:num w:numId="6">
    <w:abstractNumId w:val="35"/>
  </w:num>
  <w:num w:numId="7">
    <w:abstractNumId w:val="10"/>
  </w:num>
  <w:num w:numId="8">
    <w:abstractNumId w:val="21"/>
  </w:num>
  <w:num w:numId="9">
    <w:abstractNumId w:val="13"/>
  </w:num>
  <w:num w:numId="10">
    <w:abstractNumId w:val="22"/>
  </w:num>
  <w:num w:numId="11">
    <w:abstractNumId w:val="20"/>
  </w:num>
  <w:num w:numId="12">
    <w:abstractNumId w:val="15"/>
  </w:num>
  <w:num w:numId="13">
    <w:abstractNumId w:val="27"/>
  </w:num>
  <w:num w:numId="14">
    <w:abstractNumId w:val="8"/>
  </w:num>
  <w:num w:numId="15">
    <w:abstractNumId w:val="1"/>
  </w:num>
  <w:num w:numId="16">
    <w:abstractNumId w:val="12"/>
  </w:num>
  <w:num w:numId="17">
    <w:abstractNumId w:val="5"/>
  </w:num>
  <w:num w:numId="18">
    <w:abstractNumId w:val="7"/>
  </w:num>
  <w:num w:numId="19">
    <w:abstractNumId w:val="4"/>
  </w:num>
  <w:num w:numId="20">
    <w:abstractNumId w:val="2"/>
  </w:num>
  <w:num w:numId="21">
    <w:abstractNumId w:val="34"/>
  </w:num>
  <w:num w:numId="22">
    <w:abstractNumId w:val="0"/>
  </w:num>
  <w:num w:numId="23">
    <w:abstractNumId w:val="2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9"/>
  </w:num>
  <w:num w:numId="27">
    <w:abstractNumId w:val="11"/>
  </w:num>
  <w:num w:numId="28">
    <w:abstractNumId w:val="9"/>
  </w:num>
  <w:num w:numId="29">
    <w:abstractNumId w:val="16"/>
  </w:num>
  <w:num w:numId="30">
    <w:abstractNumId w:val="37"/>
  </w:num>
  <w:num w:numId="31">
    <w:abstractNumId w:val="29"/>
  </w:num>
  <w:num w:numId="32">
    <w:abstractNumId w:val="24"/>
  </w:num>
  <w:num w:numId="33">
    <w:abstractNumId w:val="30"/>
  </w:num>
  <w:num w:numId="34">
    <w:abstractNumId w:val="33"/>
  </w:num>
  <w:num w:numId="35">
    <w:abstractNumId w:val="26"/>
  </w:num>
  <w:num w:numId="36">
    <w:abstractNumId w:val="14"/>
  </w:num>
  <w:num w:numId="37">
    <w:abstractNumId w:val="6"/>
  </w:num>
  <w:num w:numId="38">
    <w:abstractNumId w:val="23"/>
  </w:num>
  <w:num w:numId="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0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DM1MjQ3NzA3NbdQ0lEKTi0uzszPAykwM6wFANCdwfUtAAAA"/>
    <w:docVar w:name="zzmp10NoTrailerPromptID" w:val="DB1.135495055.3"/>
  </w:docVars>
  <w:rsids>
    <w:rsidRoot w:val="00167ED7"/>
    <w:rsid w:val="00000271"/>
    <w:rsid w:val="000002C1"/>
    <w:rsid w:val="000007EE"/>
    <w:rsid w:val="0000091C"/>
    <w:rsid w:val="00000BF8"/>
    <w:rsid w:val="00000C5A"/>
    <w:rsid w:val="00000D35"/>
    <w:rsid w:val="00000EF9"/>
    <w:rsid w:val="00000F56"/>
    <w:rsid w:val="00000F99"/>
    <w:rsid w:val="000010D9"/>
    <w:rsid w:val="0000179D"/>
    <w:rsid w:val="000019C8"/>
    <w:rsid w:val="00001AC7"/>
    <w:rsid w:val="00001F91"/>
    <w:rsid w:val="00001FAA"/>
    <w:rsid w:val="000023CD"/>
    <w:rsid w:val="000023D4"/>
    <w:rsid w:val="000024EF"/>
    <w:rsid w:val="000025FD"/>
    <w:rsid w:val="00002A04"/>
    <w:rsid w:val="00002EF6"/>
    <w:rsid w:val="00003005"/>
    <w:rsid w:val="000030A9"/>
    <w:rsid w:val="000031BA"/>
    <w:rsid w:val="00003476"/>
    <w:rsid w:val="00003A54"/>
    <w:rsid w:val="00003A57"/>
    <w:rsid w:val="00003B59"/>
    <w:rsid w:val="00003C61"/>
    <w:rsid w:val="00003C74"/>
    <w:rsid w:val="00003D9A"/>
    <w:rsid w:val="00003D9D"/>
    <w:rsid w:val="0000419D"/>
    <w:rsid w:val="000041CF"/>
    <w:rsid w:val="00004365"/>
    <w:rsid w:val="00004545"/>
    <w:rsid w:val="00004742"/>
    <w:rsid w:val="00004898"/>
    <w:rsid w:val="00004B26"/>
    <w:rsid w:val="00004DF4"/>
    <w:rsid w:val="00005284"/>
    <w:rsid w:val="000052CE"/>
    <w:rsid w:val="0000550C"/>
    <w:rsid w:val="00005511"/>
    <w:rsid w:val="00005564"/>
    <w:rsid w:val="00005A6D"/>
    <w:rsid w:val="00005B68"/>
    <w:rsid w:val="00007398"/>
    <w:rsid w:val="00007547"/>
    <w:rsid w:val="000075DD"/>
    <w:rsid w:val="000076B3"/>
    <w:rsid w:val="000076FB"/>
    <w:rsid w:val="0000788E"/>
    <w:rsid w:val="00007BB3"/>
    <w:rsid w:val="00007C4B"/>
    <w:rsid w:val="00007E4F"/>
    <w:rsid w:val="00010047"/>
    <w:rsid w:val="0001023A"/>
    <w:rsid w:val="000106F8"/>
    <w:rsid w:val="00010C86"/>
    <w:rsid w:val="00010CE6"/>
    <w:rsid w:val="0001122C"/>
    <w:rsid w:val="000112F2"/>
    <w:rsid w:val="00011487"/>
    <w:rsid w:val="0001159C"/>
    <w:rsid w:val="00011845"/>
    <w:rsid w:val="00011C32"/>
    <w:rsid w:val="000121D6"/>
    <w:rsid w:val="000127B8"/>
    <w:rsid w:val="00012872"/>
    <w:rsid w:val="0001289C"/>
    <w:rsid w:val="00012A69"/>
    <w:rsid w:val="00012C2E"/>
    <w:rsid w:val="00012CE7"/>
    <w:rsid w:val="00012D57"/>
    <w:rsid w:val="00012DEF"/>
    <w:rsid w:val="00012EBF"/>
    <w:rsid w:val="000131C6"/>
    <w:rsid w:val="000135EE"/>
    <w:rsid w:val="000136AE"/>
    <w:rsid w:val="000137A7"/>
    <w:rsid w:val="00013989"/>
    <w:rsid w:val="00014467"/>
    <w:rsid w:val="00014502"/>
    <w:rsid w:val="000146AE"/>
    <w:rsid w:val="00014719"/>
    <w:rsid w:val="00014BCC"/>
    <w:rsid w:val="00014EB8"/>
    <w:rsid w:val="000155EB"/>
    <w:rsid w:val="0001567A"/>
    <w:rsid w:val="00015928"/>
    <w:rsid w:val="00015975"/>
    <w:rsid w:val="00015C1E"/>
    <w:rsid w:val="00015C9D"/>
    <w:rsid w:val="00015D95"/>
    <w:rsid w:val="00015DDB"/>
    <w:rsid w:val="00015F00"/>
    <w:rsid w:val="00015F56"/>
    <w:rsid w:val="00016021"/>
    <w:rsid w:val="0001619E"/>
    <w:rsid w:val="000165AA"/>
    <w:rsid w:val="00016601"/>
    <w:rsid w:val="000167F6"/>
    <w:rsid w:val="000168DE"/>
    <w:rsid w:val="000171EF"/>
    <w:rsid w:val="00017270"/>
    <w:rsid w:val="00017960"/>
    <w:rsid w:val="00017979"/>
    <w:rsid w:val="00017AFC"/>
    <w:rsid w:val="00017F71"/>
    <w:rsid w:val="00017FAB"/>
    <w:rsid w:val="00020133"/>
    <w:rsid w:val="0002016F"/>
    <w:rsid w:val="00020297"/>
    <w:rsid w:val="00020382"/>
    <w:rsid w:val="000208CA"/>
    <w:rsid w:val="00020CC0"/>
    <w:rsid w:val="00021093"/>
    <w:rsid w:val="000211A2"/>
    <w:rsid w:val="000211F4"/>
    <w:rsid w:val="00021C02"/>
    <w:rsid w:val="00021D76"/>
    <w:rsid w:val="000221CD"/>
    <w:rsid w:val="00022309"/>
    <w:rsid w:val="00022B86"/>
    <w:rsid w:val="00022C72"/>
    <w:rsid w:val="00022D06"/>
    <w:rsid w:val="00023137"/>
    <w:rsid w:val="00023375"/>
    <w:rsid w:val="000233FC"/>
    <w:rsid w:val="000235CB"/>
    <w:rsid w:val="0002372C"/>
    <w:rsid w:val="00023C96"/>
    <w:rsid w:val="00023E43"/>
    <w:rsid w:val="00023ECB"/>
    <w:rsid w:val="0002423D"/>
    <w:rsid w:val="000242C3"/>
    <w:rsid w:val="000242FF"/>
    <w:rsid w:val="000243A6"/>
    <w:rsid w:val="0002447A"/>
    <w:rsid w:val="00024678"/>
    <w:rsid w:val="00024837"/>
    <w:rsid w:val="000253A0"/>
    <w:rsid w:val="000253E2"/>
    <w:rsid w:val="00025456"/>
    <w:rsid w:val="00025530"/>
    <w:rsid w:val="00025768"/>
    <w:rsid w:val="000257A3"/>
    <w:rsid w:val="0002584B"/>
    <w:rsid w:val="000258DF"/>
    <w:rsid w:val="00025BEA"/>
    <w:rsid w:val="00025F42"/>
    <w:rsid w:val="000261E8"/>
    <w:rsid w:val="0002635E"/>
    <w:rsid w:val="000269C6"/>
    <w:rsid w:val="00026A6B"/>
    <w:rsid w:val="00026ACA"/>
    <w:rsid w:val="00026DC2"/>
    <w:rsid w:val="000270BA"/>
    <w:rsid w:val="00027C97"/>
    <w:rsid w:val="00027DAF"/>
    <w:rsid w:val="00027DF8"/>
    <w:rsid w:val="00027E99"/>
    <w:rsid w:val="00030014"/>
    <w:rsid w:val="000302DC"/>
    <w:rsid w:val="0003032F"/>
    <w:rsid w:val="0003042C"/>
    <w:rsid w:val="0003072D"/>
    <w:rsid w:val="00030967"/>
    <w:rsid w:val="00030986"/>
    <w:rsid w:val="000309A2"/>
    <w:rsid w:val="00030A91"/>
    <w:rsid w:val="00030AF4"/>
    <w:rsid w:val="00031048"/>
    <w:rsid w:val="0003120B"/>
    <w:rsid w:val="00031450"/>
    <w:rsid w:val="0003149B"/>
    <w:rsid w:val="00031747"/>
    <w:rsid w:val="00031915"/>
    <w:rsid w:val="0003195A"/>
    <w:rsid w:val="0003196F"/>
    <w:rsid w:val="000319DF"/>
    <w:rsid w:val="00031B26"/>
    <w:rsid w:val="000322CC"/>
    <w:rsid w:val="00032643"/>
    <w:rsid w:val="000326A4"/>
    <w:rsid w:val="0003304E"/>
    <w:rsid w:val="0003326C"/>
    <w:rsid w:val="000334E9"/>
    <w:rsid w:val="00033BED"/>
    <w:rsid w:val="000340B2"/>
    <w:rsid w:val="000343CE"/>
    <w:rsid w:val="0003450C"/>
    <w:rsid w:val="00034695"/>
    <w:rsid w:val="00034737"/>
    <w:rsid w:val="000349C4"/>
    <w:rsid w:val="00034C33"/>
    <w:rsid w:val="00034C93"/>
    <w:rsid w:val="00035041"/>
    <w:rsid w:val="000350D2"/>
    <w:rsid w:val="00035212"/>
    <w:rsid w:val="000352C6"/>
    <w:rsid w:val="00035507"/>
    <w:rsid w:val="000355B5"/>
    <w:rsid w:val="000355E2"/>
    <w:rsid w:val="00035828"/>
    <w:rsid w:val="000358FA"/>
    <w:rsid w:val="000359E8"/>
    <w:rsid w:val="00035E7C"/>
    <w:rsid w:val="00035F40"/>
    <w:rsid w:val="0003608D"/>
    <w:rsid w:val="0003655D"/>
    <w:rsid w:val="000367DB"/>
    <w:rsid w:val="00036D49"/>
    <w:rsid w:val="00036EEE"/>
    <w:rsid w:val="000372F4"/>
    <w:rsid w:val="00037878"/>
    <w:rsid w:val="00037A78"/>
    <w:rsid w:val="00037AE3"/>
    <w:rsid w:val="000400CA"/>
    <w:rsid w:val="000400FD"/>
    <w:rsid w:val="000406BF"/>
    <w:rsid w:val="0004083C"/>
    <w:rsid w:val="00040954"/>
    <w:rsid w:val="00040BB4"/>
    <w:rsid w:val="00040C58"/>
    <w:rsid w:val="0004178D"/>
    <w:rsid w:val="00041825"/>
    <w:rsid w:val="0004190B"/>
    <w:rsid w:val="00041B33"/>
    <w:rsid w:val="00041BEA"/>
    <w:rsid w:val="00041C56"/>
    <w:rsid w:val="00041FED"/>
    <w:rsid w:val="00042122"/>
    <w:rsid w:val="0004243D"/>
    <w:rsid w:val="00042545"/>
    <w:rsid w:val="00042B70"/>
    <w:rsid w:val="00042F4D"/>
    <w:rsid w:val="00042F52"/>
    <w:rsid w:val="000432F8"/>
    <w:rsid w:val="000435EE"/>
    <w:rsid w:val="0004374C"/>
    <w:rsid w:val="0004386D"/>
    <w:rsid w:val="000439D2"/>
    <w:rsid w:val="000439E9"/>
    <w:rsid w:val="00043AD8"/>
    <w:rsid w:val="00043BA6"/>
    <w:rsid w:val="000440F3"/>
    <w:rsid w:val="0004421A"/>
    <w:rsid w:val="000442A8"/>
    <w:rsid w:val="000443E2"/>
    <w:rsid w:val="00044438"/>
    <w:rsid w:val="00044476"/>
    <w:rsid w:val="00044513"/>
    <w:rsid w:val="000445F4"/>
    <w:rsid w:val="00044869"/>
    <w:rsid w:val="00044E15"/>
    <w:rsid w:val="00044E5C"/>
    <w:rsid w:val="00044F47"/>
    <w:rsid w:val="0004528A"/>
    <w:rsid w:val="000453C9"/>
    <w:rsid w:val="00045670"/>
    <w:rsid w:val="00045678"/>
    <w:rsid w:val="0004574B"/>
    <w:rsid w:val="00045889"/>
    <w:rsid w:val="00045B7B"/>
    <w:rsid w:val="00045CD8"/>
    <w:rsid w:val="00046204"/>
    <w:rsid w:val="00046B5B"/>
    <w:rsid w:val="00046C38"/>
    <w:rsid w:val="000471B9"/>
    <w:rsid w:val="00047473"/>
    <w:rsid w:val="00047572"/>
    <w:rsid w:val="000476D5"/>
    <w:rsid w:val="000477BA"/>
    <w:rsid w:val="00047913"/>
    <w:rsid w:val="00047B4F"/>
    <w:rsid w:val="00047F2C"/>
    <w:rsid w:val="00047FE0"/>
    <w:rsid w:val="00050545"/>
    <w:rsid w:val="000506D8"/>
    <w:rsid w:val="000507C5"/>
    <w:rsid w:val="00050BC4"/>
    <w:rsid w:val="00050C92"/>
    <w:rsid w:val="00050DD8"/>
    <w:rsid w:val="00050ECF"/>
    <w:rsid w:val="00050EDF"/>
    <w:rsid w:val="000511FE"/>
    <w:rsid w:val="000517F5"/>
    <w:rsid w:val="00051953"/>
    <w:rsid w:val="000519CA"/>
    <w:rsid w:val="00051BAC"/>
    <w:rsid w:val="00051BD7"/>
    <w:rsid w:val="00051C06"/>
    <w:rsid w:val="00051DBC"/>
    <w:rsid w:val="000520DE"/>
    <w:rsid w:val="00052203"/>
    <w:rsid w:val="00052667"/>
    <w:rsid w:val="00052C62"/>
    <w:rsid w:val="000531DD"/>
    <w:rsid w:val="000534FC"/>
    <w:rsid w:val="0005386A"/>
    <w:rsid w:val="000538CA"/>
    <w:rsid w:val="00053A1B"/>
    <w:rsid w:val="00053D03"/>
    <w:rsid w:val="00054011"/>
    <w:rsid w:val="00054302"/>
    <w:rsid w:val="000543AE"/>
    <w:rsid w:val="00054F64"/>
    <w:rsid w:val="000553B2"/>
    <w:rsid w:val="000559EC"/>
    <w:rsid w:val="00055B11"/>
    <w:rsid w:val="000560A6"/>
    <w:rsid w:val="000567FC"/>
    <w:rsid w:val="000569B0"/>
    <w:rsid w:val="00056C41"/>
    <w:rsid w:val="00056EB0"/>
    <w:rsid w:val="00057314"/>
    <w:rsid w:val="00057421"/>
    <w:rsid w:val="000574AC"/>
    <w:rsid w:val="00057577"/>
    <w:rsid w:val="00057A55"/>
    <w:rsid w:val="00057D5C"/>
    <w:rsid w:val="00057D62"/>
    <w:rsid w:val="00057EA4"/>
    <w:rsid w:val="00057F34"/>
    <w:rsid w:val="00057F59"/>
    <w:rsid w:val="000600DC"/>
    <w:rsid w:val="0006017B"/>
    <w:rsid w:val="000602DC"/>
    <w:rsid w:val="00060531"/>
    <w:rsid w:val="00060B1F"/>
    <w:rsid w:val="00061152"/>
    <w:rsid w:val="000613F1"/>
    <w:rsid w:val="0006188F"/>
    <w:rsid w:val="000618C6"/>
    <w:rsid w:val="00061901"/>
    <w:rsid w:val="00061A87"/>
    <w:rsid w:val="00061CDD"/>
    <w:rsid w:val="00061E1C"/>
    <w:rsid w:val="0006274D"/>
    <w:rsid w:val="000628FB"/>
    <w:rsid w:val="00062E33"/>
    <w:rsid w:val="00063034"/>
    <w:rsid w:val="00063173"/>
    <w:rsid w:val="0006318B"/>
    <w:rsid w:val="00063400"/>
    <w:rsid w:val="000634A4"/>
    <w:rsid w:val="00063647"/>
    <w:rsid w:val="00063856"/>
    <w:rsid w:val="00063D12"/>
    <w:rsid w:val="00064545"/>
    <w:rsid w:val="00064A85"/>
    <w:rsid w:val="00064B39"/>
    <w:rsid w:val="00064DA5"/>
    <w:rsid w:val="000658DE"/>
    <w:rsid w:val="00065919"/>
    <w:rsid w:val="00065A69"/>
    <w:rsid w:val="00065F2C"/>
    <w:rsid w:val="00066459"/>
    <w:rsid w:val="00066590"/>
    <w:rsid w:val="000665CA"/>
    <w:rsid w:val="000665E1"/>
    <w:rsid w:val="000665EF"/>
    <w:rsid w:val="00066B08"/>
    <w:rsid w:val="00066C3A"/>
    <w:rsid w:val="00066D42"/>
    <w:rsid w:val="00066DA5"/>
    <w:rsid w:val="00066FF3"/>
    <w:rsid w:val="0006713C"/>
    <w:rsid w:val="0006747D"/>
    <w:rsid w:val="000674F9"/>
    <w:rsid w:val="00067632"/>
    <w:rsid w:val="00067650"/>
    <w:rsid w:val="0006786A"/>
    <w:rsid w:val="00067ACB"/>
    <w:rsid w:val="00067E0F"/>
    <w:rsid w:val="00067EE1"/>
    <w:rsid w:val="000700E4"/>
    <w:rsid w:val="0007022F"/>
    <w:rsid w:val="000704C0"/>
    <w:rsid w:val="00070791"/>
    <w:rsid w:val="00070AD5"/>
    <w:rsid w:val="00070C61"/>
    <w:rsid w:val="00070CE8"/>
    <w:rsid w:val="000714B4"/>
    <w:rsid w:val="0007152C"/>
    <w:rsid w:val="000716AC"/>
    <w:rsid w:val="00071A23"/>
    <w:rsid w:val="00071AE9"/>
    <w:rsid w:val="00071D6C"/>
    <w:rsid w:val="00071DA6"/>
    <w:rsid w:val="00071E46"/>
    <w:rsid w:val="00071F60"/>
    <w:rsid w:val="00072017"/>
    <w:rsid w:val="0007229C"/>
    <w:rsid w:val="000723D7"/>
    <w:rsid w:val="0007242E"/>
    <w:rsid w:val="00072C54"/>
    <w:rsid w:val="000731F2"/>
    <w:rsid w:val="00073362"/>
    <w:rsid w:val="0007341E"/>
    <w:rsid w:val="0007343A"/>
    <w:rsid w:val="000734EF"/>
    <w:rsid w:val="00073635"/>
    <w:rsid w:val="00073841"/>
    <w:rsid w:val="00073BB9"/>
    <w:rsid w:val="00073C12"/>
    <w:rsid w:val="00073D22"/>
    <w:rsid w:val="00073F1D"/>
    <w:rsid w:val="00073F92"/>
    <w:rsid w:val="00073FD1"/>
    <w:rsid w:val="0007406F"/>
    <w:rsid w:val="000745DE"/>
    <w:rsid w:val="0007476B"/>
    <w:rsid w:val="00074887"/>
    <w:rsid w:val="00074BC6"/>
    <w:rsid w:val="00074BE6"/>
    <w:rsid w:val="00074D59"/>
    <w:rsid w:val="00074DBC"/>
    <w:rsid w:val="00074EEE"/>
    <w:rsid w:val="00074F9A"/>
    <w:rsid w:val="00074FAA"/>
    <w:rsid w:val="00075371"/>
    <w:rsid w:val="00075675"/>
    <w:rsid w:val="0007578B"/>
    <w:rsid w:val="00075995"/>
    <w:rsid w:val="00076491"/>
    <w:rsid w:val="00076866"/>
    <w:rsid w:val="00076C29"/>
    <w:rsid w:val="00076E01"/>
    <w:rsid w:val="0007748A"/>
    <w:rsid w:val="000775D8"/>
    <w:rsid w:val="0007763F"/>
    <w:rsid w:val="00077667"/>
    <w:rsid w:val="000776D6"/>
    <w:rsid w:val="00077783"/>
    <w:rsid w:val="000779A3"/>
    <w:rsid w:val="00077F24"/>
    <w:rsid w:val="0008015C"/>
    <w:rsid w:val="000801A9"/>
    <w:rsid w:val="000802B8"/>
    <w:rsid w:val="000803F4"/>
    <w:rsid w:val="000803FA"/>
    <w:rsid w:val="0008087B"/>
    <w:rsid w:val="000809E2"/>
    <w:rsid w:val="00080A0C"/>
    <w:rsid w:val="00080AA2"/>
    <w:rsid w:val="00080B8B"/>
    <w:rsid w:val="00080D55"/>
    <w:rsid w:val="00080D78"/>
    <w:rsid w:val="00080EFD"/>
    <w:rsid w:val="00080F0F"/>
    <w:rsid w:val="00080FBE"/>
    <w:rsid w:val="00081068"/>
    <w:rsid w:val="0008109A"/>
    <w:rsid w:val="0008109C"/>
    <w:rsid w:val="000811D1"/>
    <w:rsid w:val="0008162E"/>
    <w:rsid w:val="00081D01"/>
    <w:rsid w:val="00082206"/>
    <w:rsid w:val="0008236F"/>
    <w:rsid w:val="00082597"/>
    <w:rsid w:val="0008276B"/>
    <w:rsid w:val="00082885"/>
    <w:rsid w:val="0008290B"/>
    <w:rsid w:val="00082D4E"/>
    <w:rsid w:val="00082DE0"/>
    <w:rsid w:val="0008321E"/>
    <w:rsid w:val="00083455"/>
    <w:rsid w:val="0008361A"/>
    <w:rsid w:val="0008362D"/>
    <w:rsid w:val="0008373D"/>
    <w:rsid w:val="00083753"/>
    <w:rsid w:val="000838D0"/>
    <w:rsid w:val="00083C0A"/>
    <w:rsid w:val="00083D8D"/>
    <w:rsid w:val="00083F56"/>
    <w:rsid w:val="00084185"/>
    <w:rsid w:val="0008425F"/>
    <w:rsid w:val="0008463F"/>
    <w:rsid w:val="00084AA8"/>
    <w:rsid w:val="00084EF5"/>
    <w:rsid w:val="00084FAA"/>
    <w:rsid w:val="00085303"/>
    <w:rsid w:val="000858C1"/>
    <w:rsid w:val="0008591F"/>
    <w:rsid w:val="000859EF"/>
    <w:rsid w:val="00085D45"/>
    <w:rsid w:val="00085D99"/>
    <w:rsid w:val="00086376"/>
    <w:rsid w:val="00086AA1"/>
    <w:rsid w:val="00086D1A"/>
    <w:rsid w:val="00086F93"/>
    <w:rsid w:val="00087832"/>
    <w:rsid w:val="00087B70"/>
    <w:rsid w:val="00087DCE"/>
    <w:rsid w:val="00087F7E"/>
    <w:rsid w:val="00090045"/>
    <w:rsid w:val="00090232"/>
    <w:rsid w:val="00090286"/>
    <w:rsid w:val="0009029C"/>
    <w:rsid w:val="00090306"/>
    <w:rsid w:val="00090608"/>
    <w:rsid w:val="00090615"/>
    <w:rsid w:val="0009063A"/>
    <w:rsid w:val="000908D1"/>
    <w:rsid w:val="00090A17"/>
    <w:rsid w:val="00090AAF"/>
    <w:rsid w:val="00090ACD"/>
    <w:rsid w:val="00090B52"/>
    <w:rsid w:val="00090C3E"/>
    <w:rsid w:val="00090FBE"/>
    <w:rsid w:val="00091488"/>
    <w:rsid w:val="0009160A"/>
    <w:rsid w:val="000916C1"/>
    <w:rsid w:val="00091803"/>
    <w:rsid w:val="00091B48"/>
    <w:rsid w:val="00091CE4"/>
    <w:rsid w:val="00091D27"/>
    <w:rsid w:val="00091FDF"/>
    <w:rsid w:val="0009200D"/>
    <w:rsid w:val="00092580"/>
    <w:rsid w:val="00092652"/>
    <w:rsid w:val="000928C3"/>
    <w:rsid w:val="00092D1B"/>
    <w:rsid w:val="00092F2F"/>
    <w:rsid w:val="00093404"/>
    <w:rsid w:val="00093A1D"/>
    <w:rsid w:val="00093D0A"/>
    <w:rsid w:val="00093F22"/>
    <w:rsid w:val="00093FA6"/>
    <w:rsid w:val="00094012"/>
    <w:rsid w:val="000940AC"/>
    <w:rsid w:val="000940E0"/>
    <w:rsid w:val="0009455B"/>
    <w:rsid w:val="0009457F"/>
    <w:rsid w:val="00094BCC"/>
    <w:rsid w:val="00094C5D"/>
    <w:rsid w:val="00094F06"/>
    <w:rsid w:val="00094FFF"/>
    <w:rsid w:val="00095422"/>
    <w:rsid w:val="00095477"/>
    <w:rsid w:val="000954BB"/>
    <w:rsid w:val="000956DE"/>
    <w:rsid w:val="000958D3"/>
    <w:rsid w:val="00095925"/>
    <w:rsid w:val="000962C5"/>
    <w:rsid w:val="000962E5"/>
    <w:rsid w:val="0009651A"/>
    <w:rsid w:val="00096664"/>
    <w:rsid w:val="00096891"/>
    <w:rsid w:val="00096906"/>
    <w:rsid w:val="00096B91"/>
    <w:rsid w:val="0009704D"/>
    <w:rsid w:val="0009728E"/>
    <w:rsid w:val="000972C5"/>
    <w:rsid w:val="00097FB4"/>
    <w:rsid w:val="000A01DF"/>
    <w:rsid w:val="000A02A5"/>
    <w:rsid w:val="000A0340"/>
    <w:rsid w:val="000A034D"/>
    <w:rsid w:val="000A0521"/>
    <w:rsid w:val="000A0720"/>
    <w:rsid w:val="000A081E"/>
    <w:rsid w:val="000A08EF"/>
    <w:rsid w:val="000A0D63"/>
    <w:rsid w:val="000A0FEB"/>
    <w:rsid w:val="000A1390"/>
    <w:rsid w:val="000A13A9"/>
    <w:rsid w:val="000A1486"/>
    <w:rsid w:val="000A1687"/>
    <w:rsid w:val="000A177E"/>
    <w:rsid w:val="000A18A9"/>
    <w:rsid w:val="000A18E4"/>
    <w:rsid w:val="000A18F4"/>
    <w:rsid w:val="000A19BE"/>
    <w:rsid w:val="000A1A41"/>
    <w:rsid w:val="000A1BDD"/>
    <w:rsid w:val="000A1DF6"/>
    <w:rsid w:val="000A2107"/>
    <w:rsid w:val="000A297E"/>
    <w:rsid w:val="000A2A4F"/>
    <w:rsid w:val="000A2D91"/>
    <w:rsid w:val="000A2F0D"/>
    <w:rsid w:val="000A3365"/>
    <w:rsid w:val="000A3427"/>
    <w:rsid w:val="000A34EC"/>
    <w:rsid w:val="000A3584"/>
    <w:rsid w:val="000A3666"/>
    <w:rsid w:val="000A38D6"/>
    <w:rsid w:val="000A39D2"/>
    <w:rsid w:val="000A3A8E"/>
    <w:rsid w:val="000A4604"/>
    <w:rsid w:val="000A4993"/>
    <w:rsid w:val="000A4ED1"/>
    <w:rsid w:val="000A576D"/>
    <w:rsid w:val="000A5BBD"/>
    <w:rsid w:val="000A5D9F"/>
    <w:rsid w:val="000A5DEA"/>
    <w:rsid w:val="000A5F18"/>
    <w:rsid w:val="000A62E4"/>
    <w:rsid w:val="000A6947"/>
    <w:rsid w:val="000A69C4"/>
    <w:rsid w:val="000A6B35"/>
    <w:rsid w:val="000A6C03"/>
    <w:rsid w:val="000A6D66"/>
    <w:rsid w:val="000A6E45"/>
    <w:rsid w:val="000A6F86"/>
    <w:rsid w:val="000A7095"/>
    <w:rsid w:val="000A774F"/>
    <w:rsid w:val="000A7887"/>
    <w:rsid w:val="000A7D1B"/>
    <w:rsid w:val="000A7D7F"/>
    <w:rsid w:val="000A7E92"/>
    <w:rsid w:val="000B0422"/>
    <w:rsid w:val="000B04E6"/>
    <w:rsid w:val="000B0587"/>
    <w:rsid w:val="000B05CE"/>
    <w:rsid w:val="000B0723"/>
    <w:rsid w:val="000B089C"/>
    <w:rsid w:val="000B0B9A"/>
    <w:rsid w:val="000B1305"/>
    <w:rsid w:val="000B19AA"/>
    <w:rsid w:val="000B1CED"/>
    <w:rsid w:val="000B1E5B"/>
    <w:rsid w:val="000B21DC"/>
    <w:rsid w:val="000B2301"/>
    <w:rsid w:val="000B2436"/>
    <w:rsid w:val="000B268C"/>
    <w:rsid w:val="000B2D3A"/>
    <w:rsid w:val="000B2D50"/>
    <w:rsid w:val="000B2D7D"/>
    <w:rsid w:val="000B2F13"/>
    <w:rsid w:val="000B3086"/>
    <w:rsid w:val="000B3274"/>
    <w:rsid w:val="000B3277"/>
    <w:rsid w:val="000B33ED"/>
    <w:rsid w:val="000B3559"/>
    <w:rsid w:val="000B3588"/>
    <w:rsid w:val="000B36FE"/>
    <w:rsid w:val="000B3946"/>
    <w:rsid w:val="000B3B94"/>
    <w:rsid w:val="000B3EE3"/>
    <w:rsid w:val="000B4010"/>
    <w:rsid w:val="000B40A9"/>
    <w:rsid w:val="000B415F"/>
    <w:rsid w:val="000B42AD"/>
    <w:rsid w:val="000B4310"/>
    <w:rsid w:val="000B431D"/>
    <w:rsid w:val="000B43E7"/>
    <w:rsid w:val="000B4927"/>
    <w:rsid w:val="000B4AD4"/>
    <w:rsid w:val="000B4CCD"/>
    <w:rsid w:val="000B4D22"/>
    <w:rsid w:val="000B5616"/>
    <w:rsid w:val="000B592A"/>
    <w:rsid w:val="000B5DAF"/>
    <w:rsid w:val="000B6136"/>
    <w:rsid w:val="000B6844"/>
    <w:rsid w:val="000B6A09"/>
    <w:rsid w:val="000B6E04"/>
    <w:rsid w:val="000B70AF"/>
    <w:rsid w:val="000B70B9"/>
    <w:rsid w:val="000B7188"/>
    <w:rsid w:val="000B7287"/>
    <w:rsid w:val="000B730B"/>
    <w:rsid w:val="000B7555"/>
    <w:rsid w:val="000B7566"/>
    <w:rsid w:val="000B75F8"/>
    <w:rsid w:val="000B76AB"/>
    <w:rsid w:val="000B776F"/>
    <w:rsid w:val="000B7813"/>
    <w:rsid w:val="000B78B8"/>
    <w:rsid w:val="000B7B55"/>
    <w:rsid w:val="000B7F35"/>
    <w:rsid w:val="000C01F4"/>
    <w:rsid w:val="000C0567"/>
    <w:rsid w:val="000C05B2"/>
    <w:rsid w:val="000C05D8"/>
    <w:rsid w:val="000C06B4"/>
    <w:rsid w:val="000C071F"/>
    <w:rsid w:val="000C0A7B"/>
    <w:rsid w:val="000C0FFE"/>
    <w:rsid w:val="000C1088"/>
    <w:rsid w:val="000C129E"/>
    <w:rsid w:val="000C1466"/>
    <w:rsid w:val="000C14B6"/>
    <w:rsid w:val="000C17F8"/>
    <w:rsid w:val="000C1EC7"/>
    <w:rsid w:val="000C21C0"/>
    <w:rsid w:val="000C2312"/>
    <w:rsid w:val="000C27C6"/>
    <w:rsid w:val="000C292F"/>
    <w:rsid w:val="000C2CCF"/>
    <w:rsid w:val="000C2D2A"/>
    <w:rsid w:val="000C300E"/>
    <w:rsid w:val="000C3053"/>
    <w:rsid w:val="000C3205"/>
    <w:rsid w:val="000C39B5"/>
    <w:rsid w:val="000C3C5C"/>
    <w:rsid w:val="000C3C8B"/>
    <w:rsid w:val="000C3D4C"/>
    <w:rsid w:val="000C3D6E"/>
    <w:rsid w:val="000C409E"/>
    <w:rsid w:val="000C41C2"/>
    <w:rsid w:val="000C42D9"/>
    <w:rsid w:val="000C42FE"/>
    <w:rsid w:val="000C444B"/>
    <w:rsid w:val="000C46F1"/>
    <w:rsid w:val="000C48A4"/>
    <w:rsid w:val="000C4A6A"/>
    <w:rsid w:val="000C4A6F"/>
    <w:rsid w:val="000C4DAD"/>
    <w:rsid w:val="000C5124"/>
    <w:rsid w:val="000C5306"/>
    <w:rsid w:val="000C5436"/>
    <w:rsid w:val="000C551A"/>
    <w:rsid w:val="000C55C1"/>
    <w:rsid w:val="000C55FF"/>
    <w:rsid w:val="000C56BB"/>
    <w:rsid w:val="000C5A39"/>
    <w:rsid w:val="000C5A7F"/>
    <w:rsid w:val="000C5BBE"/>
    <w:rsid w:val="000C6061"/>
    <w:rsid w:val="000C6624"/>
    <w:rsid w:val="000C6990"/>
    <w:rsid w:val="000C6C53"/>
    <w:rsid w:val="000C6DBC"/>
    <w:rsid w:val="000C6ED3"/>
    <w:rsid w:val="000C6FAA"/>
    <w:rsid w:val="000C704C"/>
    <w:rsid w:val="000C7095"/>
    <w:rsid w:val="000C724E"/>
    <w:rsid w:val="000C77CA"/>
    <w:rsid w:val="000C7A14"/>
    <w:rsid w:val="000C7FFD"/>
    <w:rsid w:val="000D01D5"/>
    <w:rsid w:val="000D02CE"/>
    <w:rsid w:val="000D05E4"/>
    <w:rsid w:val="000D0B7F"/>
    <w:rsid w:val="000D0D18"/>
    <w:rsid w:val="000D133A"/>
    <w:rsid w:val="000D1799"/>
    <w:rsid w:val="000D18B0"/>
    <w:rsid w:val="000D19F0"/>
    <w:rsid w:val="000D1BFC"/>
    <w:rsid w:val="000D1F82"/>
    <w:rsid w:val="000D203A"/>
    <w:rsid w:val="000D20B6"/>
    <w:rsid w:val="000D213A"/>
    <w:rsid w:val="000D22C2"/>
    <w:rsid w:val="000D271F"/>
    <w:rsid w:val="000D2A1C"/>
    <w:rsid w:val="000D2AEE"/>
    <w:rsid w:val="000D2CD6"/>
    <w:rsid w:val="000D2E8D"/>
    <w:rsid w:val="000D2EF3"/>
    <w:rsid w:val="000D2F1A"/>
    <w:rsid w:val="000D3066"/>
    <w:rsid w:val="000D338F"/>
    <w:rsid w:val="000D3448"/>
    <w:rsid w:val="000D3608"/>
    <w:rsid w:val="000D3891"/>
    <w:rsid w:val="000D3BC6"/>
    <w:rsid w:val="000D3E39"/>
    <w:rsid w:val="000D3F59"/>
    <w:rsid w:val="000D3F91"/>
    <w:rsid w:val="000D4004"/>
    <w:rsid w:val="000D449B"/>
    <w:rsid w:val="000D4AB4"/>
    <w:rsid w:val="000D4E40"/>
    <w:rsid w:val="000D4EF2"/>
    <w:rsid w:val="000D4F23"/>
    <w:rsid w:val="000D4F6E"/>
    <w:rsid w:val="000D505E"/>
    <w:rsid w:val="000D5792"/>
    <w:rsid w:val="000D599E"/>
    <w:rsid w:val="000D5D70"/>
    <w:rsid w:val="000D5D92"/>
    <w:rsid w:val="000D609A"/>
    <w:rsid w:val="000D609C"/>
    <w:rsid w:val="000D620D"/>
    <w:rsid w:val="000D6410"/>
    <w:rsid w:val="000D6551"/>
    <w:rsid w:val="000D6848"/>
    <w:rsid w:val="000D6AAF"/>
    <w:rsid w:val="000D6AC0"/>
    <w:rsid w:val="000D6CDE"/>
    <w:rsid w:val="000D6D63"/>
    <w:rsid w:val="000D6F84"/>
    <w:rsid w:val="000D74DE"/>
    <w:rsid w:val="000D75AF"/>
    <w:rsid w:val="000D763F"/>
    <w:rsid w:val="000D769B"/>
    <w:rsid w:val="000D786D"/>
    <w:rsid w:val="000D7948"/>
    <w:rsid w:val="000D7BAA"/>
    <w:rsid w:val="000D7BB0"/>
    <w:rsid w:val="000D7C0B"/>
    <w:rsid w:val="000D7C6E"/>
    <w:rsid w:val="000D7D54"/>
    <w:rsid w:val="000E0381"/>
    <w:rsid w:val="000E0678"/>
    <w:rsid w:val="000E0792"/>
    <w:rsid w:val="000E07E7"/>
    <w:rsid w:val="000E09FD"/>
    <w:rsid w:val="000E1212"/>
    <w:rsid w:val="000E1330"/>
    <w:rsid w:val="000E1631"/>
    <w:rsid w:val="000E1670"/>
    <w:rsid w:val="000E1991"/>
    <w:rsid w:val="000E1EE3"/>
    <w:rsid w:val="000E1F4F"/>
    <w:rsid w:val="000E2282"/>
    <w:rsid w:val="000E248F"/>
    <w:rsid w:val="000E2636"/>
    <w:rsid w:val="000E2663"/>
    <w:rsid w:val="000E26EF"/>
    <w:rsid w:val="000E2B55"/>
    <w:rsid w:val="000E2BE9"/>
    <w:rsid w:val="000E2CBA"/>
    <w:rsid w:val="000E2FE0"/>
    <w:rsid w:val="000E30B0"/>
    <w:rsid w:val="000E312B"/>
    <w:rsid w:val="000E3304"/>
    <w:rsid w:val="000E38FE"/>
    <w:rsid w:val="000E3A39"/>
    <w:rsid w:val="000E3A85"/>
    <w:rsid w:val="000E3AD3"/>
    <w:rsid w:val="000E3B82"/>
    <w:rsid w:val="000E3D2C"/>
    <w:rsid w:val="000E3EB2"/>
    <w:rsid w:val="000E3F85"/>
    <w:rsid w:val="000E412B"/>
    <w:rsid w:val="000E4518"/>
    <w:rsid w:val="000E4F37"/>
    <w:rsid w:val="000E4FDA"/>
    <w:rsid w:val="000E5133"/>
    <w:rsid w:val="000E524C"/>
    <w:rsid w:val="000E52CE"/>
    <w:rsid w:val="000E54F6"/>
    <w:rsid w:val="000E570B"/>
    <w:rsid w:val="000E5743"/>
    <w:rsid w:val="000E59E7"/>
    <w:rsid w:val="000E5E77"/>
    <w:rsid w:val="000E68AA"/>
    <w:rsid w:val="000E68D4"/>
    <w:rsid w:val="000E71BD"/>
    <w:rsid w:val="000F00B0"/>
    <w:rsid w:val="000F0739"/>
    <w:rsid w:val="000F1041"/>
    <w:rsid w:val="000F105D"/>
    <w:rsid w:val="000F12C4"/>
    <w:rsid w:val="000F146A"/>
    <w:rsid w:val="000F15E2"/>
    <w:rsid w:val="000F16D4"/>
    <w:rsid w:val="000F205F"/>
    <w:rsid w:val="000F2112"/>
    <w:rsid w:val="000F2349"/>
    <w:rsid w:val="000F259A"/>
    <w:rsid w:val="000F2855"/>
    <w:rsid w:val="000F2B94"/>
    <w:rsid w:val="000F2C0E"/>
    <w:rsid w:val="000F2CBB"/>
    <w:rsid w:val="000F2E53"/>
    <w:rsid w:val="000F2F21"/>
    <w:rsid w:val="000F325F"/>
    <w:rsid w:val="000F3328"/>
    <w:rsid w:val="000F347C"/>
    <w:rsid w:val="000F3628"/>
    <w:rsid w:val="000F37F7"/>
    <w:rsid w:val="000F3C26"/>
    <w:rsid w:val="000F3C4A"/>
    <w:rsid w:val="000F40A1"/>
    <w:rsid w:val="000F4283"/>
    <w:rsid w:val="000F4506"/>
    <w:rsid w:val="000F460C"/>
    <w:rsid w:val="000F4841"/>
    <w:rsid w:val="000F4881"/>
    <w:rsid w:val="000F49FB"/>
    <w:rsid w:val="000F4C99"/>
    <w:rsid w:val="000F5151"/>
    <w:rsid w:val="000F534A"/>
    <w:rsid w:val="000F5515"/>
    <w:rsid w:val="000F5BDD"/>
    <w:rsid w:val="000F5CC6"/>
    <w:rsid w:val="000F5E37"/>
    <w:rsid w:val="000F6171"/>
    <w:rsid w:val="000F6747"/>
    <w:rsid w:val="000F69D8"/>
    <w:rsid w:val="000F6D00"/>
    <w:rsid w:val="000F7009"/>
    <w:rsid w:val="000F7017"/>
    <w:rsid w:val="000F70BB"/>
    <w:rsid w:val="000F72BC"/>
    <w:rsid w:val="000F776A"/>
    <w:rsid w:val="000F7ACA"/>
    <w:rsid w:val="000F7AF3"/>
    <w:rsid w:val="000F7C6A"/>
    <w:rsid w:val="000F7EED"/>
    <w:rsid w:val="00100029"/>
    <w:rsid w:val="001003BC"/>
    <w:rsid w:val="00100432"/>
    <w:rsid w:val="0010094F"/>
    <w:rsid w:val="0010098F"/>
    <w:rsid w:val="001009C1"/>
    <w:rsid w:val="00100B1B"/>
    <w:rsid w:val="00100C48"/>
    <w:rsid w:val="00100DC4"/>
    <w:rsid w:val="00101190"/>
    <w:rsid w:val="00101436"/>
    <w:rsid w:val="0010145B"/>
    <w:rsid w:val="001014A7"/>
    <w:rsid w:val="00101BEE"/>
    <w:rsid w:val="00101F46"/>
    <w:rsid w:val="001021CF"/>
    <w:rsid w:val="00102544"/>
    <w:rsid w:val="001025CE"/>
    <w:rsid w:val="0010262B"/>
    <w:rsid w:val="00102B49"/>
    <w:rsid w:val="00102C05"/>
    <w:rsid w:val="00102C31"/>
    <w:rsid w:val="00102D62"/>
    <w:rsid w:val="00102D70"/>
    <w:rsid w:val="00102EB3"/>
    <w:rsid w:val="00102F13"/>
    <w:rsid w:val="00103754"/>
    <w:rsid w:val="00103824"/>
    <w:rsid w:val="00103AC9"/>
    <w:rsid w:val="00103C6D"/>
    <w:rsid w:val="00103C75"/>
    <w:rsid w:val="00104902"/>
    <w:rsid w:val="00104A53"/>
    <w:rsid w:val="00104D26"/>
    <w:rsid w:val="00104F75"/>
    <w:rsid w:val="00104F89"/>
    <w:rsid w:val="00105348"/>
    <w:rsid w:val="00105357"/>
    <w:rsid w:val="001054A8"/>
    <w:rsid w:val="001054AE"/>
    <w:rsid w:val="001055B7"/>
    <w:rsid w:val="00105730"/>
    <w:rsid w:val="00105DD4"/>
    <w:rsid w:val="00105E6B"/>
    <w:rsid w:val="001061A9"/>
    <w:rsid w:val="0010643D"/>
    <w:rsid w:val="001066D6"/>
    <w:rsid w:val="001066DB"/>
    <w:rsid w:val="001069BF"/>
    <w:rsid w:val="00106A84"/>
    <w:rsid w:val="00106C21"/>
    <w:rsid w:val="00106CC8"/>
    <w:rsid w:val="001072AA"/>
    <w:rsid w:val="0010738D"/>
    <w:rsid w:val="00107864"/>
    <w:rsid w:val="00107A73"/>
    <w:rsid w:val="00107AE4"/>
    <w:rsid w:val="00107C94"/>
    <w:rsid w:val="00107EA6"/>
    <w:rsid w:val="00107EAF"/>
    <w:rsid w:val="00107ED0"/>
    <w:rsid w:val="0011019C"/>
    <w:rsid w:val="00110433"/>
    <w:rsid w:val="001104CD"/>
    <w:rsid w:val="00110545"/>
    <w:rsid w:val="001105D3"/>
    <w:rsid w:val="00110CB5"/>
    <w:rsid w:val="00110CB6"/>
    <w:rsid w:val="00110D32"/>
    <w:rsid w:val="00110E24"/>
    <w:rsid w:val="00111147"/>
    <w:rsid w:val="001112C2"/>
    <w:rsid w:val="001113A5"/>
    <w:rsid w:val="00111646"/>
    <w:rsid w:val="0011176C"/>
    <w:rsid w:val="00111F66"/>
    <w:rsid w:val="001120D8"/>
    <w:rsid w:val="001122C7"/>
    <w:rsid w:val="001125FB"/>
    <w:rsid w:val="0011281A"/>
    <w:rsid w:val="00112962"/>
    <w:rsid w:val="00112A06"/>
    <w:rsid w:val="00112A39"/>
    <w:rsid w:val="00112AA0"/>
    <w:rsid w:val="0011318C"/>
    <w:rsid w:val="00113315"/>
    <w:rsid w:val="001133F0"/>
    <w:rsid w:val="00113509"/>
    <w:rsid w:val="00113539"/>
    <w:rsid w:val="00113587"/>
    <w:rsid w:val="00113CA4"/>
    <w:rsid w:val="00113E25"/>
    <w:rsid w:val="0011419C"/>
    <w:rsid w:val="001141A9"/>
    <w:rsid w:val="001143C1"/>
    <w:rsid w:val="00114D72"/>
    <w:rsid w:val="00115283"/>
    <w:rsid w:val="0011552B"/>
    <w:rsid w:val="001155C9"/>
    <w:rsid w:val="0011565B"/>
    <w:rsid w:val="001157C7"/>
    <w:rsid w:val="00115FAC"/>
    <w:rsid w:val="00116108"/>
    <w:rsid w:val="001162C2"/>
    <w:rsid w:val="001167FD"/>
    <w:rsid w:val="00116852"/>
    <w:rsid w:val="00116939"/>
    <w:rsid w:val="00116C47"/>
    <w:rsid w:val="00116CFA"/>
    <w:rsid w:val="0011729A"/>
    <w:rsid w:val="00117A7C"/>
    <w:rsid w:val="00117B43"/>
    <w:rsid w:val="00117BAB"/>
    <w:rsid w:val="00117BEC"/>
    <w:rsid w:val="00117DC0"/>
    <w:rsid w:val="00117DDE"/>
    <w:rsid w:val="00117F31"/>
    <w:rsid w:val="0012029E"/>
    <w:rsid w:val="001205C0"/>
    <w:rsid w:val="0012091F"/>
    <w:rsid w:val="00120AE8"/>
    <w:rsid w:val="001213A1"/>
    <w:rsid w:val="001216D8"/>
    <w:rsid w:val="001218BF"/>
    <w:rsid w:val="00121A25"/>
    <w:rsid w:val="00121ABC"/>
    <w:rsid w:val="00121E46"/>
    <w:rsid w:val="00121F21"/>
    <w:rsid w:val="0012214C"/>
    <w:rsid w:val="0012219B"/>
    <w:rsid w:val="001227B2"/>
    <w:rsid w:val="00122971"/>
    <w:rsid w:val="00122AEB"/>
    <w:rsid w:val="00122BD3"/>
    <w:rsid w:val="00122E60"/>
    <w:rsid w:val="001230B8"/>
    <w:rsid w:val="00123495"/>
    <w:rsid w:val="00123750"/>
    <w:rsid w:val="00123A4E"/>
    <w:rsid w:val="00123CC0"/>
    <w:rsid w:val="00123E98"/>
    <w:rsid w:val="00123EF5"/>
    <w:rsid w:val="00123F7A"/>
    <w:rsid w:val="0012412D"/>
    <w:rsid w:val="00124607"/>
    <w:rsid w:val="00124685"/>
    <w:rsid w:val="001246B1"/>
    <w:rsid w:val="001246B9"/>
    <w:rsid w:val="0012472C"/>
    <w:rsid w:val="00124897"/>
    <w:rsid w:val="00124976"/>
    <w:rsid w:val="0012498A"/>
    <w:rsid w:val="0012505C"/>
    <w:rsid w:val="00125109"/>
    <w:rsid w:val="00125584"/>
    <w:rsid w:val="001256CE"/>
    <w:rsid w:val="0012591B"/>
    <w:rsid w:val="00125937"/>
    <w:rsid w:val="00125996"/>
    <w:rsid w:val="0012600E"/>
    <w:rsid w:val="00126486"/>
    <w:rsid w:val="001268F7"/>
    <w:rsid w:val="00126A0C"/>
    <w:rsid w:val="00126D17"/>
    <w:rsid w:val="00126D88"/>
    <w:rsid w:val="00127010"/>
    <w:rsid w:val="001274E1"/>
    <w:rsid w:val="001277BD"/>
    <w:rsid w:val="00127C06"/>
    <w:rsid w:val="00127D3F"/>
    <w:rsid w:val="00127F09"/>
    <w:rsid w:val="00130250"/>
    <w:rsid w:val="0013034C"/>
    <w:rsid w:val="001309AE"/>
    <w:rsid w:val="00130B78"/>
    <w:rsid w:val="00130C3A"/>
    <w:rsid w:val="00130F21"/>
    <w:rsid w:val="001313F8"/>
    <w:rsid w:val="001313FD"/>
    <w:rsid w:val="00131428"/>
    <w:rsid w:val="0013206A"/>
    <w:rsid w:val="001325B8"/>
    <w:rsid w:val="0013276F"/>
    <w:rsid w:val="001328BD"/>
    <w:rsid w:val="001329DF"/>
    <w:rsid w:val="0013308F"/>
    <w:rsid w:val="001331EA"/>
    <w:rsid w:val="001332CD"/>
    <w:rsid w:val="00133712"/>
    <w:rsid w:val="00133735"/>
    <w:rsid w:val="00133753"/>
    <w:rsid w:val="001338F0"/>
    <w:rsid w:val="00133C84"/>
    <w:rsid w:val="00133DF6"/>
    <w:rsid w:val="001340A8"/>
    <w:rsid w:val="001343C7"/>
    <w:rsid w:val="00134632"/>
    <w:rsid w:val="0013498B"/>
    <w:rsid w:val="00134CE7"/>
    <w:rsid w:val="00134D0E"/>
    <w:rsid w:val="00134D40"/>
    <w:rsid w:val="00134E0F"/>
    <w:rsid w:val="001352DC"/>
    <w:rsid w:val="00135348"/>
    <w:rsid w:val="00135354"/>
    <w:rsid w:val="00135583"/>
    <w:rsid w:val="001355F0"/>
    <w:rsid w:val="00135AC8"/>
    <w:rsid w:val="00135D06"/>
    <w:rsid w:val="00135DCB"/>
    <w:rsid w:val="00135E45"/>
    <w:rsid w:val="0013622B"/>
    <w:rsid w:val="0013656A"/>
    <w:rsid w:val="00136FC0"/>
    <w:rsid w:val="00137018"/>
    <w:rsid w:val="001371EB"/>
    <w:rsid w:val="00137B20"/>
    <w:rsid w:val="00137CAA"/>
    <w:rsid w:val="00137E26"/>
    <w:rsid w:val="0014061E"/>
    <w:rsid w:val="00140729"/>
    <w:rsid w:val="00140869"/>
    <w:rsid w:val="00140911"/>
    <w:rsid w:val="00140B03"/>
    <w:rsid w:val="00140D8D"/>
    <w:rsid w:val="00140D96"/>
    <w:rsid w:val="001412FC"/>
    <w:rsid w:val="0014151A"/>
    <w:rsid w:val="0014196E"/>
    <w:rsid w:val="00141B78"/>
    <w:rsid w:val="00141C18"/>
    <w:rsid w:val="00142717"/>
    <w:rsid w:val="001427D7"/>
    <w:rsid w:val="001428E3"/>
    <w:rsid w:val="001429CA"/>
    <w:rsid w:val="00142ADE"/>
    <w:rsid w:val="00142B13"/>
    <w:rsid w:val="0014302D"/>
    <w:rsid w:val="00143135"/>
    <w:rsid w:val="0014314E"/>
    <w:rsid w:val="00143465"/>
    <w:rsid w:val="0014366D"/>
    <w:rsid w:val="0014369D"/>
    <w:rsid w:val="00143740"/>
    <w:rsid w:val="00143E44"/>
    <w:rsid w:val="00143F79"/>
    <w:rsid w:val="001441FE"/>
    <w:rsid w:val="001445D8"/>
    <w:rsid w:val="0014468A"/>
    <w:rsid w:val="001449E3"/>
    <w:rsid w:val="0014568D"/>
    <w:rsid w:val="0014577C"/>
    <w:rsid w:val="00145B1F"/>
    <w:rsid w:val="00145D08"/>
    <w:rsid w:val="00145D20"/>
    <w:rsid w:val="00145DF8"/>
    <w:rsid w:val="00145E36"/>
    <w:rsid w:val="001460A4"/>
    <w:rsid w:val="001461C7"/>
    <w:rsid w:val="001464B3"/>
    <w:rsid w:val="001464F0"/>
    <w:rsid w:val="001466FA"/>
    <w:rsid w:val="001467A5"/>
    <w:rsid w:val="00146903"/>
    <w:rsid w:val="00146CCE"/>
    <w:rsid w:val="00147041"/>
    <w:rsid w:val="001477D8"/>
    <w:rsid w:val="001478CF"/>
    <w:rsid w:val="00147A72"/>
    <w:rsid w:val="00147B56"/>
    <w:rsid w:val="00147E07"/>
    <w:rsid w:val="00147E56"/>
    <w:rsid w:val="0015017E"/>
    <w:rsid w:val="00150A33"/>
    <w:rsid w:val="00150ACB"/>
    <w:rsid w:val="0015122A"/>
    <w:rsid w:val="0015200C"/>
    <w:rsid w:val="0015232C"/>
    <w:rsid w:val="001526C1"/>
    <w:rsid w:val="00152981"/>
    <w:rsid w:val="00152E29"/>
    <w:rsid w:val="00152E3E"/>
    <w:rsid w:val="0015332C"/>
    <w:rsid w:val="00153589"/>
    <w:rsid w:val="00153713"/>
    <w:rsid w:val="001539C1"/>
    <w:rsid w:val="001539DA"/>
    <w:rsid w:val="00153AE3"/>
    <w:rsid w:val="00153B3E"/>
    <w:rsid w:val="00153C5A"/>
    <w:rsid w:val="00153C79"/>
    <w:rsid w:val="00153CA3"/>
    <w:rsid w:val="00154039"/>
    <w:rsid w:val="00154652"/>
    <w:rsid w:val="0015481A"/>
    <w:rsid w:val="00154888"/>
    <w:rsid w:val="001548D6"/>
    <w:rsid w:val="00154BFB"/>
    <w:rsid w:val="00154EAA"/>
    <w:rsid w:val="00154EC2"/>
    <w:rsid w:val="001556B7"/>
    <w:rsid w:val="00155AE9"/>
    <w:rsid w:val="00156203"/>
    <w:rsid w:val="00156829"/>
    <w:rsid w:val="001568EA"/>
    <w:rsid w:val="00156A94"/>
    <w:rsid w:val="00156CE9"/>
    <w:rsid w:val="00156F55"/>
    <w:rsid w:val="00156FA9"/>
    <w:rsid w:val="00157141"/>
    <w:rsid w:val="00157394"/>
    <w:rsid w:val="001576C0"/>
    <w:rsid w:val="00157B05"/>
    <w:rsid w:val="00157D53"/>
    <w:rsid w:val="00157EAF"/>
    <w:rsid w:val="001600E5"/>
    <w:rsid w:val="00160200"/>
    <w:rsid w:val="00160715"/>
    <w:rsid w:val="001608E1"/>
    <w:rsid w:val="00160F26"/>
    <w:rsid w:val="00160FB7"/>
    <w:rsid w:val="00161106"/>
    <w:rsid w:val="00161589"/>
    <w:rsid w:val="00161BC6"/>
    <w:rsid w:val="00161FE5"/>
    <w:rsid w:val="00162058"/>
    <w:rsid w:val="0016206E"/>
    <w:rsid w:val="001623BB"/>
    <w:rsid w:val="0016257C"/>
    <w:rsid w:val="00162E38"/>
    <w:rsid w:val="00163150"/>
    <w:rsid w:val="001633CC"/>
    <w:rsid w:val="001635BF"/>
    <w:rsid w:val="00163CAA"/>
    <w:rsid w:val="00163D7F"/>
    <w:rsid w:val="00163F0D"/>
    <w:rsid w:val="001640DD"/>
    <w:rsid w:val="00165277"/>
    <w:rsid w:val="0016562D"/>
    <w:rsid w:val="001659CB"/>
    <w:rsid w:val="00165B1B"/>
    <w:rsid w:val="00165E3F"/>
    <w:rsid w:val="00166536"/>
    <w:rsid w:val="001665B8"/>
    <w:rsid w:val="00166A55"/>
    <w:rsid w:val="00166DF7"/>
    <w:rsid w:val="00167027"/>
    <w:rsid w:val="00167107"/>
    <w:rsid w:val="001672BC"/>
    <w:rsid w:val="001676BC"/>
    <w:rsid w:val="001679EE"/>
    <w:rsid w:val="00167CC3"/>
    <w:rsid w:val="00167ED7"/>
    <w:rsid w:val="00167F11"/>
    <w:rsid w:val="00170134"/>
    <w:rsid w:val="00170CBC"/>
    <w:rsid w:val="00170D98"/>
    <w:rsid w:val="00171669"/>
    <w:rsid w:val="001717C4"/>
    <w:rsid w:val="0017191C"/>
    <w:rsid w:val="00171A93"/>
    <w:rsid w:val="00171B48"/>
    <w:rsid w:val="001720D8"/>
    <w:rsid w:val="0017216D"/>
    <w:rsid w:val="0017271A"/>
    <w:rsid w:val="00172750"/>
    <w:rsid w:val="00172A78"/>
    <w:rsid w:val="00172CDE"/>
    <w:rsid w:val="00172D06"/>
    <w:rsid w:val="00172D85"/>
    <w:rsid w:val="00172E0A"/>
    <w:rsid w:val="00172E9A"/>
    <w:rsid w:val="0017339A"/>
    <w:rsid w:val="001735D0"/>
    <w:rsid w:val="001739FF"/>
    <w:rsid w:val="00173BC5"/>
    <w:rsid w:val="00174043"/>
    <w:rsid w:val="00174155"/>
    <w:rsid w:val="00174672"/>
    <w:rsid w:val="0017467B"/>
    <w:rsid w:val="00174736"/>
    <w:rsid w:val="00174946"/>
    <w:rsid w:val="00174985"/>
    <w:rsid w:val="001749B2"/>
    <w:rsid w:val="00174C8D"/>
    <w:rsid w:val="0017501B"/>
    <w:rsid w:val="00175196"/>
    <w:rsid w:val="00175360"/>
    <w:rsid w:val="00175547"/>
    <w:rsid w:val="00175B0C"/>
    <w:rsid w:val="00175B51"/>
    <w:rsid w:val="00175C51"/>
    <w:rsid w:val="00175F9D"/>
    <w:rsid w:val="00176308"/>
    <w:rsid w:val="001763A2"/>
    <w:rsid w:val="00176412"/>
    <w:rsid w:val="001764AC"/>
    <w:rsid w:val="0017674B"/>
    <w:rsid w:val="00176B35"/>
    <w:rsid w:val="00176FBE"/>
    <w:rsid w:val="00176FDC"/>
    <w:rsid w:val="001775EA"/>
    <w:rsid w:val="00177621"/>
    <w:rsid w:val="00177683"/>
    <w:rsid w:val="00177B6B"/>
    <w:rsid w:val="00177EF4"/>
    <w:rsid w:val="001801C5"/>
    <w:rsid w:val="00180352"/>
    <w:rsid w:val="001807CF"/>
    <w:rsid w:val="00180831"/>
    <w:rsid w:val="00180867"/>
    <w:rsid w:val="00180ADC"/>
    <w:rsid w:val="00180DAA"/>
    <w:rsid w:val="00180F5C"/>
    <w:rsid w:val="0018122B"/>
    <w:rsid w:val="0018123F"/>
    <w:rsid w:val="001815AD"/>
    <w:rsid w:val="001816C1"/>
    <w:rsid w:val="00181996"/>
    <w:rsid w:val="00181AD6"/>
    <w:rsid w:val="00181B01"/>
    <w:rsid w:val="00181D2B"/>
    <w:rsid w:val="00181ED0"/>
    <w:rsid w:val="00181F90"/>
    <w:rsid w:val="00181FB1"/>
    <w:rsid w:val="00182249"/>
    <w:rsid w:val="00182372"/>
    <w:rsid w:val="00182414"/>
    <w:rsid w:val="001826DD"/>
    <w:rsid w:val="00182706"/>
    <w:rsid w:val="00182E4E"/>
    <w:rsid w:val="00182F60"/>
    <w:rsid w:val="00183110"/>
    <w:rsid w:val="00183127"/>
    <w:rsid w:val="00183734"/>
    <w:rsid w:val="00183E84"/>
    <w:rsid w:val="00183F7A"/>
    <w:rsid w:val="00184126"/>
    <w:rsid w:val="0018421B"/>
    <w:rsid w:val="001844A3"/>
    <w:rsid w:val="0018452B"/>
    <w:rsid w:val="001845AC"/>
    <w:rsid w:val="0018487B"/>
    <w:rsid w:val="00184A18"/>
    <w:rsid w:val="00184E50"/>
    <w:rsid w:val="00184E8D"/>
    <w:rsid w:val="00184EFE"/>
    <w:rsid w:val="00184FBA"/>
    <w:rsid w:val="001851AF"/>
    <w:rsid w:val="001853F1"/>
    <w:rsid w:val="001854CD"/>
    <w:rsid w:val="001854F7"/>
    <w:rsid w:val="001859FB"/>
    <w:rsid w:val="00185D77"/>
    <w:rsid w:val="00185E79"/>
    <w:rsid w:val="00186050"/>
    <w:rsid w:val="001860B3"/>
    <w:rsid w:val="0018612D"/>
    <w:rsid w:val="001862EB"/>
    <w:rsid w:val="0018632E"/>
    <w:rsid w:val="00186508"/>
    <w:rsid w:val="001866FE"/>
    <w:rsid w:val="00186793"/>
    <w:rsid w:val="00186CBE"/>
    <w:rsid w:val="00187090"/>
    <w:rsid w:val="00187620"/>
    <w:rsid w:val="0018790C"/>
    <w:rsid w:val="00187AC0"/>
    <w:rsid w:val="00187AE9"/>
    <w:rsid w:val="00187C3E"/>
    <w:rsid w:val="00187CAF"/>
    <w:rsid w:val="001902B5"/>
    <w:rsid w:val="0019052D"/>
    <w:rsid w:val="001907C4"/>
    <w:rsid w:val="001909D9"/>
    <w:rsid w:val="00190B61"/>
    <w:rsid w:val="00190EFD"/>
    <w:rsid w:val="00191069"/>
    <w:rsid w:val="00191144"/>
    <w:rsid w:val="001911BF"/>
    <w:rsid w:val="0019130D"/>
    <w:rsid w:val="0019138E"/>
    <w:rsid w:val="0019153E"/>
    <w:rsid w:val="0019194A"/>
    <w:rsid w:val="00191C49"/>
    <w:rsid w:val="00191D32"/>
    <w:rsid w:val="00192ABA"/>
    <w:rsid w:val="00192B2F"/>
    <w:rsid w:val="00192BAB"/>
    <w:rsid w:val="00192C5A"/>
    <w:rsid w:val="00192CA8"/>
    <w:rsid w:val="001930EF"/>
    <w:rsid w:val="00193451"/>
    <w:rsid w:val="0019371C"/>
    <w:rsid w:val="00193AB5"/>
    <w:rsid w:val="00193BA4"/>
    <w:rsid w:val="00193D5F"/>
    <w:rsid w:val="00193E0B"/>
    <w:rsid w:val="00193EE0"/>
    <w:rsid w:val="001940FB"/>
    <w:rsid w:val="001943BC"/>
    <w:rsid w:val="00194588"/>
    <w:rsid w:val="00194650"/>
    <w:rsid w:val="001947C5"/>
    <w:rsid w:val="00194F52"/>
    <w:rsid w:val="00194F5E"/>
    <w:rsid w:val="001954ED"/>
    <w:rsid w:val="001958C7"/>
    <w:rsid w:val="00195DC3"/>
    <w:rsid w:val="001963C2"/>
    <w:rsid w:val="00196454"/>
    <w:rsid w:val="001965D2"/>
    <w:rsid w:val="001968A9"/>
    <w:rsid w:val="001968E9"/>
    <w:rsid w:val="00196AC4"/>
    <w:rsid w:val="00196EAE"/>
    <w:rsid w:val="00197174"/>
    <w:rsid w:val="001972EC"/>
    <w:rsid w:val="00197429"/>
    <w:rsid w:val="00197660"/>
    <w:rsid w:val="00197A5A"/>
    <w:rsid w:val="00197E7F"/>
    <w:rsid w:val="001A0106"/>
    <w:rsid w:val="001A0DB0"/>
    <w:rsid w:val="001A0EAA"/>
    <w:rsid w:val="001A0F22"/>
    <w:rsid w:val="001A1018"/>
    <w:rsid w:val="001A145E"/>
    <w:rsid w:val="001A1909"/>
    <w:rsid w:val="001A1A72"/>
    <w:rsid w:val="001A1B67"/>
    <w:rsid w:val="001A2566"/>
    <w:rsid w:val="001A2819"/>
    <w:rsid w:val="001A2AE9"/>
    <w:rsid w:val="001A2BAB"/>
    <w:rsid w:val="001A2BF7"/>
    <w:rsid w:val="001A3687"/>
    <w:rsid w:val="001A36F7"/>
    <w:rsid w:val="001A3AB4"/>
    <w:rsid w:val="001A3E7C"/>
    <w:rsid w:val="001A401C"/>
    <w:rsid w:val="001A44AC"/>
    <w:rsid w:val="001A48D5"/>
    <w:rsid w:val="001A4F32"/>
    <w:rsid w:val="001A519F"/>
    <w:rsid w:val="001A5422"/>
    <w:rsid w:val="001A5438"/>
    <w:rsid w:val="001A55BD"/>
    <w:rsid w:val="001A57AE"/>
    <w:rsid w:val="001A5801"/>
    <w:rsid w:val="001A5811"/>
    <w:rsid w:val="001A5BFD"/>
    <w:rsid w:val="001A612B"/>
    <w:rsid w:val="001A7014"/>
    <w:rsid w:val="001A7530"/>
    <w:rsid w:val="001A77F5"/>
    <w:rsid w:val="001A7894"/>
    <w:rsid w:val="001A7C39"/>
    <w:rsid w:val="001A7F4A"/>
    <w:rsid w:val="001B01DD"/>
    <w:rsid w:val="001B067A"/>
    <w:rsid w:val="001B1441"/>
    <w:rsid w:val="001B1919"/>
    <w:rsid w:val="001B1D35"/>
    <w:rsid w:val="001B1F17"/>
    <w:rsid w:val="001B2015"/>
    <w:rsid w:val="001B2255"/>
    <w:rsid w:val="001B240F"/>
    <w:rsid w:val="001B2708"/>
    <w:rsid w:val="001B2B04"/>
    <w:rsid w:val="001B2B8B"/>
    <w:rsid w:val="001B2D42"/>
    <w:rsid w:val="001B3100"/>
    <w:rsid w:val="001B32F0"/>
    <w:rsid w:val="001B40FB"/>
    <w:rsid w:val="001B4131"/>
    <w:rsid w:val="001B41D2"/>
    <w:rsid w:val="001B455E"/>
    <w:rsid w:val="001B49AA"/>
    <w:rsid w:val="001B4C03"/>
    <w:rsid w:val="001B4F13"/>
    <w:rsid w:val="001B54DA"/>
    <w:rsid w:val="001B56F5"/>
    <w:rsid w:val="001B57B5"/>
    <w:rsid w:val="001B589A"/>
    <w:rsid w:val="001B5AF1"/>
    <w:rsid w:val="001B5B7D"/>
    <w:rsid w:val="001B69FC"/>
    <w:rsid w:val="001B6A4F"/>
    <w:rsid w:val="001B6B5F"/>
    <w:rsid w:val="001B6C1E"/>
    <w:rsid w:val="001B6FD7"/>
    <w:rsid w:val="001B703C"/>
    <w:rsid w:val="001B70DE"/>
    <w:rsid w:val="001B771A"/>
    <w:rsid w:val="001B7B3A"/>
    <w:rsid w:val="001B7C21"/>
    <w:rsid w:val="001C01F3"/>
    <w:rsid w:val="001C0B59"/>
    <w:rsid w:val="001C0C9E"/>
    <w:rsid w:val="001C0F20"/>
    <w:rsid w:val="001C0FE1"/>
    <w:rsid w:val="001C1331"/>
    <w:rsid w:val="001C1354"/>
    <w:rsid w:val="001C13BC"/>
    <w:rsid w:val="001C1891"/>
    <w:rsid w:val="001C1CC8"/>
    <w:rsid w:val="001C1DBD"/>
    <w:rsid w:val="001C20DA"/>
    <w:rsid w:val="001C20E4"/>
    <w:rsid w:val="001C2AAB"/>
    <w:rsid w:val="001C32E7"/>
    <w:rsid w:val="001C38D8"/>
    <w:rsid w:val="001C3924"/>
    <w:rsid w:val="001C3BBD"/>
    <w:rsid w:val="001C3E0E"/>
    <w:rsid w:val="001C3E91"/>
    <w:rsid w:val="001C405E"/>
    <w:rsid w:val="001C4432"/>
    <w:rsid w:val="001C444F"/>
    <w:rsid w:val="001C44CA"/>
    <w:rsid w:val="001C45B7"/>
    <w:rsid w:val="001C4817"/>
    <w:rsid w:val="001C4CBB"/>
    <w:rsid w:val="001C4D16"/>
    <w:rsid w:val="001C4E7C"/>
    <w:rsid w:val="001C4EF7"/>
    <w:rsid w:val="001C50FB"/>
    <w:rsid w:val="001C5110"/>
    <w:rsid w:val="001C556E"/>
    <w:rsid w:val="001C55F0"/>
    <w:rsid w:val="001C5751"/>
    <w:rsid w:val="001C582D"/>
    <w:rsid w:val="001C59E4"/>
    <w:rsid w:val="001C5A0A"/>
    <w:rsid w:val="001C5ABA"/>
    <w:rsid w:val="001C5B88"/>
    <w:rsid w:val="001C5BC2"/>
    <w:rsid w:val="001C647E"/>
    <w:rsid w:val="001C6735"/>
    <w:rsid w:val="001C693B"/>
    <w:rsid w:val="001C69F3"/>
    <w:rsid w:val="001C6C8C"/>
    <w:rsid w:val="001C6D7E"/>
    <w:rsid w:val="001C6DF0"/>
    <w:rsid w:val="001C7035"/>
    <w:rsid w:val="001C7230"/>
    <w:rsid w:val="001C75BB"/>
    <w:rsid w:val="001C7601"/>
    <w:rsid w:val="001C76F4"/>
    <w:rsid w:val="001C7715"/>
    <w:rsid w:val="001C78CD"/>
    <w:rsid w:val="001C7F9B"/>
    <w:rsid w:val="001C7FF4"/>
    <w:rsid w:val="001D0246"/>
    <w:rsid w:val="001D035C"/>
    <w:rsid w:val="001D03AA"/>
    <w:rsid w:val="001D03EC"/>
    <w:rsid w:val="001D0670"/>
    <w:rsid w:val="001D0A37"/>
    <w:rsid w:val="001D0A70"/>
    <w:rsid w:val="001D0B33"/>
    <w:rsid w:val="001D0C52"/>
    <w:rsid w:val="001D0D13"/>
    <w:rsid w:val="001D0EE1"/>
    <w:rsid w:val="001D13A8"/>
    <w:rsid w:val="001D1568"/>
    <w:rsid w:val="001D178B"/>
    <w:rsid w:val="001D192B"/>
    <w:rsid w:val="001D1A4F"/>
    <w:rsid w:val="001D1A88"/>
    <w:rsid w:val="001D2588"/>
    <w:rsid w:val="001D25C0"/>
    <w:rsid w:val="001D2A36"/>
    <w:rsid w:val="001D2B60"/>
    <w:rsid w:val="001D3019"/>
    <w:rsid w:val="001D3520"/>
    <w:rsid w:val="001D35AC"/>
    <w:rsid w:val="001D393E"/>
    <w:rsid w:val="001D393F"/>
    <w:rsid w:val="001D3D97"/>
    <w:rsid w:val="001D3F89"/>
    <w:rsid w:val="001D400C"/>
    <w:rsid w:val="001D42E4"/>
    <w:rsid w:val="001D4492"/>
    <w:rsid w:val="001D4712"/>
    <w:rsid w:val="001D4766"/>
    <w:rsid w:val="001D49AB"/>
    <w:rsid w:val="001D4E2D"/>
    <w:rsid w:val="001D5046"/>
    <w:rsid w:val="001D5191"/>
    <w:rsid w:val="001D5A4A"/>
    <w:rsid w:val="001D5B10"/>
    <w:rsid w:val="001D5CE5"/>
    <w:rsid w:val="001D5FA4"/>
    <w:rsid w:val="001D61AC"/>
    <w:rsid w:val="001D61D4"/>
    <w:rsid w:val="001D61E8"/>
    <w:rsid w:val="001D6754"/>
    <w:rsid w:val="001D67C2"/>
    <w:rsid w:val="001D6B24"/>
    <w:rsid w:val="001D6E85"/>
    <w:rsid w:val="001D6EA6"/>
    <w:rsid w:val="001D7370"/>
    <w:rsid w:val="001D7376"/>
    <w:rsid w:val="001D7398"/>
    <w:rsid w:val="001D7730"/>
    <w:rsid w:val="001D7891"/>
    <w:rsid w:val="001D78B4"/>
    <w:rsid w:val="001D7BF5"/>
    <w:rsid w:val="001E0230"/>
    <w:rsid w:val="001E0637"/>
    <w:rsid w:val="001E068C"/>
    <w:rsid w:val="001E0B99"/>
    <w:rsid w:val="001E0B9F"/>
    <w:rsid w:val="001E0F18"/>
    <w:rsid w:val="001E13A6"/>
    <w:rsid w:val="001E1454"/>
    <w:rsid w:val="001E1949"/>
    <w:rsid w:val="001E19DD"/>
    <w:rsid w:val="001E1DD7"/>
    <w:rsid w:val="001E1F5E"/>
    <w:rsid w:val="001E2789"/>
    <w:rsid w:val="001E2C1E"/>
    <w:rsid w:val="001E3124"/>
    <w:rsid w:val="001E347E"/>
    <w:rsid w:val="001E3708"/>
    <w:rsid w:val="001E3712"/>
    <w:rsid w:val="001E37AA"/>
    <w:rsid w:val="001E3874"/>
    <w:rsid w:val="001E3A62"/>
    <w:rsid w:val="001E3D4E"/>
    <w:rsid w:val="001E3E6E"/>
    <w:rsid w:val="001E4028"/>
    <w:rsid w:val="001E4245"/>
    <w:rsid w:val="001E42AC"/>
    <w:rsid w:val="001E448E"/>
    <w:rsid w:val="001E453A"/>
    <w:rsid w:val="001E45E5"/>
    <w:rsid w:val="001E46C2"/>
    <w:rsid w:val="001E489C"/>
    <w:rsid w:val="001E4ADE"/>
    <w:rsid w:val="001E4D28"/>
    <w:rsid w:val="001E5C66"/>
    <w:rsid w:val="001E61D5"/>
    <w:rsid w:val="001E65DA"/>
    <w:rsid w:val="001E68EA"/>
    <w:rsid w:val="001E695D"/>
    <w:rsid w:val="001E6BBD"/>
    <w:rsid w:val="001E6E18"/>
    <w:rsid w:val="001E6FE1"/>
    <w:rsid w:val="001E748D"/>
    <w:rsid w:val="001E762F"/>
    <w:rsid w:val="001E77C5"/>
    <w:rsid w:val="001E7C68"/>
    <w:rsid w:val="001E7D22"/>
    <w:rsid w:val="001E7E98"/>
    <w:rsid w:val="001F0020"/>
    <w:rsid w:val="001F021D"/>
    <w:rsid w:val="001F04E2"/>
    <w:rsid w:val="001F0507"/>
    <w:rsid w:val="001F0667"/>
    <w:rsid w:val="001F0689"/>
    <w:rsid w:val="001F0B2F"/>
    <w:rsid w:val="001F1013"/>
    <w:rsid w:val="001F152C"/>
    <w:rsid w:val="001F15B9"/>
    <w:rsid w:val="001F18A5"/>
    <w:rsid w:val="001F1F2C"/>
    <w:rsid w:val="001F2059"/>
    <w:rsid w:val="001F21BB"/>
    <w:rsid w:val="001F22F3"/>
    <w:rsid w:val="001F2920"/>
    <w:rsid w:val="001F2B96"/>
    <w:rsid w:val="001F2F4B"/>
    <w:rsid w:val="001F2F9C"/>
    <w:rsid w:val="001F31BA"/>
    <w:rsid w:val="001F328F"/>
    <w:rsid w:val="001F37B5"/>
    <w:rsid w:val="001F3D11"/>
    <w:rsid w:val="001F3E0B"/>
    <w:rsid w:val="001F4091"/>
    <w:rsid w:val="001F4188"/>
    <w:rsid w:val="001F42CD"/>
    <w:rsid w:val="001F446A"/>
    <w:rsid w:val="001F44A0"/>
    <w:rsid w:val="001F44B0"/>
    <w:rsid w:val="001F4D62"/>
    <w:rsid w:val="001F511C"/>
    <w:rsid w:val="001F5567"/>
    <w:rsid w:val="001F593D"/>
    <w:rsid w:val="001F5A3F"/>
    <w:rsid w:val="001F5C8E"/>
    <w:rsid w:val="001F64E7"/>
    <w:rsid w:val="001F68AA"/>
    <w:rsid w:val="001F6910"/>
    <w:rsid w:val="001F69BF"/>
    <w:rsid w:val="001F6BD4"/>
    <w:rsid w:val="001F6F0D"/>
    <w:rsid w:val="001F6F3E"/>
    <w:rsid w:val="001F70A4"/>
    <w:rsid w:val="0020035A"/>
    <w:rsid w:val="002006C7"/>
    <w:rsid w:val="00200886"/>
    <w:rsid w:val="00200C6C"/>
    <w:rsid w:val="00200E3D"/>
    <w:rsid w:val="00201097"/>
    <w:rsid w:val="0020112A"/>
    <w:rsid w:val="0020126F"/>
    <w:rsid w:val="00201528"/>
    <w:rsid w:val="00201926"/>
    <w:rsid w:val="00201938"/>
    <w:rsid w:val="00201971"/>
    <w:rsid w:val="00201BE1"/>
    <w:rsid w:val="00201C8A"/>
    <w:rsid w:val="00201D72"/>
    <w:rsid w:val="00201FF2"/>
    <w:rsid w:val="002021C8"/>
    <w:rsid w:val="00202265"/>
    <w:rsid w:val="002022CA"/>
    <w:rsid w:val="002024B3"/>
    <w:rsid w:val="002025C7"/>
    <w:rsid w:val="0020274E"/>
    <w:rsid w:val="00202A7D"/>
    <w:rsid w:val="00202C87"/>
    <w:rsid w:val="00202CA5"/>
    <w:rsid w:val="00202D36"/>
    <w:rsid w:val="00202E68"/>
    <w:rsid w:val="00202F61"/>
    <w:rsid w:val="00203173"/>
    <w:rsid w:val="0020323C"/>
    <w:rsid w:val="002034C4"/>
    <w:rsid w:val="002036D4"/>
    <w:rsid w:val="002041D6"/>
    <w:rsid w:val="002043C8"/>
    <w:rsid w:val="00204560"/>
    <w:rsid w:val="002046E5"/>
    <w:rsid w:val="00204718"/>
    <w:rsid w:val="0020495D"/>
    <w:rsid w:val="00204BA6"/>
    <w:rsid w:val="00204C50"/>
    <w:rsid w:val="00204E26"/>
    <w:rsid w:val="00204F27"/>
    <w:rsid w:val="00205A2D"/>
    <w:rsid w:val="00205BF1"/>
    <w:rsid w:val="00205D70"/>
    <w:rsid w:val="0020639F"/>
    <w:rsid w:val="00206748"/>
    <w:rsid w:val="002068CA"/>
    <w:rsid w:val="00206A58"/>
    <w:rsid w:val="00206CFF"/>
    <w:rsid w:val="00206FB1"/>
    <w:rsid w:val="002079F1"/>
    <w:rsid w:val="002079F8"/>
    <w:rsid w:val="00207BC5"/>
    <w:rsid w:val="00207F1A"/>
    <w:rsid w:val="00210333"/>
    <w:rsid w:val="00210867"/>
    <w:rsid w:val="00210A94"/>
    <w:rsid w:val="00210DAA"/>
    <w:rsid w:val="00211126"/>
    <w:rsid w:val="00211165"/>
    <w:rsid w:val="00211562"/>
    <w:rsid w:val="002116A7"/>
    <w:rsid w:val="0021192E"/>
    <w:rsid w:val="0021197E"/>
    <w:rsid w:val="0021198F"/>
    <w:rsid w:val="00211B25"/>
    <w:rsid w:val="00211BC9"/>
    <w:rsid w:val="00211CB3"/>
    <w:rsid w:val="002125B0"/>
    <w:rsid w:val="00212772"/>
    <w:rsid w:val="00212B1F"/>
    <w:rsid w:val="00212F15"/>
    <w:rsid w:val="0021379A"/>
    <w:rsid w:val="00213C53"/>
    <w:rsid w:val="00213E84"/>
    <w:rsid w:val="002140BE"/>
    <w:rsid w:val="002141F9"/>
    <w:rsid w:val="0021477C"/>
    <w:rsid w:val="00214D6C"/>
    <w:rsid w:val="00214FC1"/>
    <w:rsid w:val="002150D7"/>
    <w:rsid w:val="0021518D"/>
    <w:rsid w:val="002153C7"/>
    <w:rsid w:val="00215B18"/>
    <w:rsid w:val="002160E6"/>
    <w:rsid w:val="0021644B"/>
    <w:rsid w:val="00216755"/>
    <w:rsid w:val="00216760"/>
    <w:rsid w:val="0021692C"/>
    <w:rsid w:val="00216AD6"/>
    <w:rsid w:val="00216E9F"/>
    <w:rsid w:val="0021706B"/>
    <w:rsid w:val="00217124"/>
    <w:rsid w:val="002172AE"/>
    <w:rsid w:val="002174A1"/>
    <w:rsid w:val="0021787B"/>
    <w:rsid w:val="00217909"/>
    <w:rsid w:val="00217EB3"/>
    <w:rsid w:val="00220137"/>
    <w:rsid w:val="0022033C"/>
    <w:rsid w:val="00220427"/>
    <w:rsid w:val="00220595"/>
    <w:rsid w:val="002208E9"/>
    <w:rsid w:val="00220CD7"/>
    <w:rsid w:val="00220FB3"/>
    <w:rsid w:val="0022136D"/>
    <w:rsid w:val="00221612"/>
    <w:rsid w:val="0022200D"/>
    <w:rsid w:val="002220FB"/>
    <w:rsid w:val="00222365"/>
    <w:rsid w:val="002226A0"/>
    <w:rsid w:val="00222958"/>
    <w:rsid w:val="00222A0D"/>
    <w:rsid w:val="00222CCA"/>
    <w:rsid w:val="002231C8"/>
    <w:rsid w:val="00223427"/>
    <w:rsid w:val="00223898"/>
    <w:rsid w:val="00223D56"/>
    <w:rsid w:val="00223E58"/>
    <w:rsid w:val="00224292"/>
    <w:rsid w:val="00224464"/>
    <w:rsid w:val="002247C0"/>
    <w:rsid w:val="002248A1"/>
    <w:rsid w:val="0022493B"/>
    <w:rsid w:val="00224B19"/>
    <w:rsid w:val="00224D3F"/>
    <w:rsid w:val="00224EC4"/>
    <w:rsid w:val="0022505A"/>
    <w:rsid w:val="0022509F"/>
    <w:rsid w:val="002251DE"/>
    <w:rsid w:val="00225846"/>
    <w:rsid w:val="002259C7"/>
    <w:rsid w:val="00225F72"/>
    <w:rsid w:val="00226071"/>
    <w:rsid w:val="00226209"/>
    <w:rsid w:val="0022632E"/>
    <w:rsid w:val="0022676D"/>
    <w:rsid w:val="002269F8"/>
    <w:rsid w:val="00226FBF"/>
    <w:rsid w:val="00227086"/>
    <w:rsid w:val="002270BF"/>
    <w:rsid w:val="002276C9"/>
    <w:rsid w:val="00227755"/>
    <w:rsid w:val="002277D1"/>
    <w:rsid w:val="00227C52"/>
    <w:rsid w:val="00227C88"/>
    <w:rsid w:val="00227CD3"/>
    <w:rsid w:val="00230041"/>
    <w:rsid w:val="0023029E"/>
    <w:rsid w:val="00230345"/>
    <w:rsid w:val="002303BF"/>
    <w:rsid w:val="00230503"/>
    <w:rsid w:val="00230554"/>
    <w:rsid w:val="00230640"/>
    <w:rsid w:val="00230999"/>
    <w:rsid w:val="00230A12"/>
    <w:rsid w:val="00230E7F"/>
    <w:rsid w:val="00230F95"/>
    <w:rsid w:val="0023126E"/>
    <w:rsid w:val="002313BD"/>
    <w:rsid w:val="0023153A"/>
    <w:rsid w:val="002318FF"/>
    <w:rsid w:val="00231A1A"/>
    <w:rsid w:val="00231B34"/>
    <w:rsid w:val="002320C8"/>
    <w:rsid w:val="00232283"/>
    <w:rsid w:val="002322B8"/>
    <w:rsid w:val="0023271C"/>
    <w:rsid w:val="00232C86"/>
    <w:rsid w:val="002333AE"/>
    <w:rsid w:val="002335A7"/>
    <w:rsid w:val="00233A34"/>
    <w:rsid w:val="00233D31"/>
    <w:rsid w:val="00233ED4"/>
    <w:rsid w:val="00233FED"/>
    <w:rsid w:val="002343C5"/>
    <w:rsid w:val="002343FB"/>
    <w:rsid w:val="0023464C"/>
    <w:rsid w:val="002346B6"/>
    <w:rsid w:val="002347D7"/>
    <w:rsid w:val="00234836"/>
    <w:rsid w:val="00234A87"/>
    <w:rsid w:val="00234BF1"/>
    <w:rsid w:val="00234D1D"/>
    <w:rsid w:val="0023505A"/>
    <w:rsid w:val="00235328"/>
    <w:rsid w:val="00235690"/>
    <w:rsid w:val="002356B2"/>
    <w:rsid w:val="002358DF"/>
    <w:rsid w:val="0023595D"/>
    <w:rsid w:val="00235D3F"/>
    <w:rsid w:val="00235F35"/>
    <w:rsid w:val="00235FC4"/>
    <w:rsid w:val="002362CD"/>
    <w:rsid w:val="002362D2"/>
    <w:rsid w:val="00236336"/>
    <w:rsid w:val="0023634C"/>
    <w:rsid w:val="002372CC"/>
    <w:rsid w:val="002373D1"/>
    <w:rsid w:val="0023747A"/>
    <w:rsid w:val="00237647"/>
    <w:rsid w:val="0023786E"/>
    <w:rsid w:val="002379A0"/>
    <w:rsid w:val="002379BC"/>
    <w:rsid w:val="00237B2F"/>
    <w:rsid w:val="00237DD5"/>
    <w:rsid w:val="00237E15"/>
    <w:rsid w:val="00240473"/>
    <w:rsid w:val="00240507"/>
    <w:rsid w:val="002405FA"/>
    <w:rsid w:val="002406F4"/>
    <w:rsid w:val="00240B61"/>
    <w:rsid w:val="00240C49"/>
    <w:rsid w:val="00240FD5"/>
    <w:rsid w:val="002410EB"/>
    <w:rsid w:val="002412D8"/>
    <w:rsid w:val="002416A9"/>
    <w:rsid w:val="00241960"/>
    <w:rsid w:val="00241C8A"/>
    <w:rsid w:val="00242A01"/>
    <w:rsid w:val="00242A85"/>
    <w:rsid w:val="00242E60"/>
    <w:rsid w:val="00242EF0"/>
    <w:rsid w:val="002431B1"/>
    <w:rsid w:val="00243315"/>
    <w:rsid w:val="0024385E"/>
    <w:rsid w:val="00243D53"/>
    <w:rsid w:val="00243DD2"/>
    <w:rsid w:val="0024497D"/>
    <w:rsid w:val="002449B2"/>
    <w:rsid w:val="00244C32"/>
    <w:rsid w:val="00245122"/>
    <w:rsid w:val="002451EC"/>
    <w:rsid w:val="00245362"/>
    <w:rsid w:val="002453CF"/>
    <w:rsid w:val="002455DD"/>
    <w:rsid w:val="00245854"/>
    <w:rsid w:val="00245BE9"/>
    <w:rsid w:val="00245CF7"/>
    <w:rsid w:val="00245D23"/>
    <w:rsid w:val="002462DD"/>
    <w:rsid w:val="00246443"/>
    <w:rsid w:val="00246593"/>
    <w:rsid w:val="00246F7A"/>
    <w:rsid w:val="002471A5"/>
    <w:rsid w:val="00247251"/>
    <w:rsid w:val="0024731B"/>
    <w:rsid w:val="0024744E"/>
    <w:rsid w:val="00247674"/>
    <w:rsid w:val="00247712"/>
    <w:rsid w:val="002478E8"/>
    <w:rsid w:val="002479B0"/>
    <w:rsid w:val="00247AF3"/>
    <w:rsid w:val="0025010A"/>
    <w:rsid w:val="0025018A"/>
    <w:rsid w:val="002501F7"/>
    <w:rsid w:val="00250618"/>
    <w:rsid w:val="002506D6"/>
    <w:rsid w:val="0025113B"/>
    <w:rsid w:val="002511A1"/>
    <w:rsid w:val="00251213"/>
    <w:rsid w:val="0025121F"/>
    <w:rsid w:val="0025124B"/>
    <w:rsid w:val="0025141B"/>
    <w:rsid w:val="002515B0"/>
    <w:rsid w:val="00251839"/>
    <w:rsid w:val="00251857"/>
    <w:rsid w:val="00251DEB"/>
    <w:rsid w:val="00251E63"/>
    <w:rsid w:val="0025228F"/>
    <w:rsid w:val="0025260C"/>
    <w:rsid w:val="00252652"/>
    <w:rsid w:val="00252727"/>
    <w:rsid w:val="00252A4F"/>
    <w:rsid w:val="00252D16"/>
    <w:rsid w:val="0025314E"/>
    <w:rsid w:val="0025323C"/>
    <w:rsid w:val="00253299"/>
    <w:rsid w:val="002532F5"/>
    <w:rsid w:val="00253338"/>
    <w:rsid w:val="00253663"/>
    <w:rsid w:val="0025368D"/>
    <w:rsid w:val="002536FB"/>
    <w:rsid w:val="00254671"/>
    <w:rsid w:val="00254FAD"/>
    <w:rsid w:val="0025525C"/>
    <w:rsid w:val="00255373"/>
    <w:rsid w:val="0025563E"/>
    <w:rsid w:val="002556D5"/>
    <w:rsid w:val="00255E47"/>
    <w:rsid w:val="00255EAB"/>
    <w:rsid w:val="00256272"/>
    <w:rsid w:val="0025657C"/>
    <w:rsid w:val="0025660D"/>
    <w:rsid w:val="002566B5"/>
    <w:rsid w:val="0025694F"/>
    <w:rsid w:val="00256BF1"/>
    <w:rsid w:val="00257183"/>
    <w:rsid w:val="002572AB"/>
    <w:rsid w:val="002575B2"/>
    <w:rsid w:val="002575D6"/>
    <w:rsid w:val="00257AB1"/>
    <w:rsid w:val="00257AD6"/>
    <w:rsid w:val="00257C87"/>
    <w:rsid w:val="00257E0F"/>
    <w:rsid w:val="00260235"/>
    <w:rsid w:val="00260423"/>
    <w:rsid w:val="002607C9"/>
    <w:rsid w:val="00260CE6"/>
    <w:rsid w:val="00260DFF"/>
    <w:rsid w:val="00260FA4"/>
    <w:rsid w:val="002612DE"/>
    <w:rsid w:val="002615A8"/>
    <w:rsid w:val="002615D2"/>
    <w:rsid w:val="002618E8"/>
    <w:rsid w:val="00261BFD"/>
    <w:rsid w:val="00262334"/>
    <w:rsid w:val="00262377"/>
    <w:rsid w:val="002624A8"/>
    <w:rsid w:val="002625F4"/>
    <w:rsid w:val="00262695"/>
    <w:rsid w:val="002626DE"/>
    <w:rsid w:val="00262750"/>
    <w:rsid w:val="00262777"/>
    <w:rsid w:val="0026283E"/>
    <w:rsid w:val="00262946"/>
    <w:rsid w:val="00262ADF"/>
    <w:rsid w:val="00262CAA"/>
    <w:rsid w:val="00262D36"/>
    <w:rsid w:val="00262E6F"/>
    <w:rsid w:val="00262F91"/>
    <w:rsid w:val="00263197"/>
    <w:rsid w:val="002634A6"/>
    <w:rsid w:val="002634FB"/>
    <w:rsid w:val="0026380A"/>
    <w:rsid w:val="0026399E"/>
    <w:rsid w:val="00263D78"/>
    <w:rsid w:val="00263DCA"/>
    <w:rsid w:val="00263FCB"/>
    <w:rsid w:val="0026451E"/>
    <w:rsid w:val="00264B9B"/>
    <w:rsid w:val="00264C01"/>
    <w:rsid w:val="00264E57"/>
    <w:rsid w:val="002652B7"/>
    <w:rsid w:val="0026537C"/>
    <w:rsid w:val="002654CE"/>
    <w:rsid w:val="002658B6"/>
    <w:rsid w:val="0026592B"/>
    <w:rsid w:val="00265954"/>
    <w:rsid w:val="002665CF"/>
    <w:rsid w:val="00266DC6"/>
    <w:rsid w:val="00267917"/>
    <w:rsid w:val="00267982"/>
    <w:rsid w:val="00267ABE"/>
    <w:rsid w:val="00267D68"/>
    <w:rsid w:val="00267FD7"/>
    <w:rsid w:val="002703B6"/>
    <w:rsid w:val="0027050C"/>
    <w:rsid w:val="002706B6"/>
    <w:rsid w:val="00270722"/>
    <w:rsid w:val="0027085F"/>
    <w:rsid w:val="00270A0F"/>
    <w:rsid w:val="00270BD4"/>
    <w:rsid w:val="002710C2"/>
    <w:rsid w:val="0027167B"/>
    <w:rsid w:val="002718C3"/>
    <w:rsid w:val="00271AEF"/>
    <w:rsid w:val="00271EC2"/>
    <w:rsid w:val="0027204E"/>
    <w:rsid w:val="0027299A"/>
    <w:rsid w:val="00272EC0"/>
    <w:rsid w:val="00272EDC"/>
    <w:rsid w:val="00272F10"/>
    <w:rsid w:val="00272F2A"/>
    <w:rsid w:val="002731FB"/>
    <w:rsid w:val="00273278"/>
    <w:rsid w:val="0027330B"/>
    <w:rsid w:val="00273601"/>
    <w:rsid w:val="00273716"/>
    <w:rsid w:val="00273722"/>
    <w:rsid w:val="002738AD"/>
    <w:rsid w:val="00273D3A"/>
    <w:rsid w:val="00273F10"/>
    <w:rsid w:val="00274042"/>
    <w:rsid w:val="0027408B"/>
    <w:rsid w:val="002740BA"/>
    <w:rsid w:val="00274151"/>
    <w:rsid w:val="002743FC"/>
    <w:rsid w:val="0027447B"/>
    <w:rsid w:val="002745C0"/>
    <w:rsid w:val="002746A6"/>
    <w:rsid w:val="002746B0"/>
    <w:rsid w:val="00274C58"/>
    <w:rsid w:val="00274C76"/>
    <w:rsid w:val="00274DD1"/>
    <w:rsid w:val="002751B7"/>
    <w:rsid w:val="00275483"/>
    <w:rsid w:val="00275662"/>
    <w:rsid w:val="00275679"/>
    <w:rsid w:val="002758F8"/>
    <w:rsid w:val="00275A67"/>
    <w:rsid w:val="00275C9F"/>
    <w:rsid w:val="002764ED"/>
    <w:rsid w:val="00276721"/>
    <w:rsid w:val="00276E4A"/>
    <w:rsid w:val="00277002"/>
    <w:rsid w:val="002773BC"/>
    <w:rsid w:val="00277A22"/>
    <w:rsid w:val="00277CB3"/>
    <w:rsid w:val="00277EB5"/>
    <w:rsid w:val="002800AF"/>
    <w:rsid w:val="002805FF"/>
    <w:rsid w:val="00280B27"/>
    <w:rsid w:val="00280BC9"/>
    <w:rsid w:val="00280EB1"/>
    <w:rsid w:val="00281295"/>
    <w:rsid w:val="00281776"/>
    <w:rsid w:val="0028179F"/>
    <w:rsid w:val="002817C3"/>
    <w:rsid w:val="00281A18"/>
    <w:rsid w:val="00281B2A"/>
    <w:rsid w:val="00281C8C"/>
    <w:rsid w:val="00281EC7"/>
    <w:rsid w:val="0028225E"/>
    <w:rsid w:val="002822F0"/>
    <w:rsid w:val="00282660"/>
    <w:rsid w:val="00283069"/>
    <w:rsid w:val="002837AD"/>
    <w:rsid w:val="0028382E"/>
    <w:rsid w:val="00283A1A"/>
    <w:rsid w:val="00283A79"/>
    <w:rsid w:val="00284014"/>
    <w:rsid w:val="002842CE"/>
    <w:rsid w:val="00284945"/>
    <w:rsid w:val="00284AF6"/>
    <w:rsid w:val="00284BC3"/>
    <w:rsid w:val="00284F0F"/>
    <w:rsid w:val="00284F34"/>
    <w:rsid w:val="00284F3B"/>
    <w:rsid w:val="00285965"/>
    <w:rsid w:val="00285A3B"/>
    <w:rsid w:val="00285F13"/>
    <w:rsid w:val="0028608C"/>
    <w:rsid w:val="0028634F"/>
    <w:rsid w:val="0028672E"/>
    <w:rsid w:val="002868BC"/>
    <w:rsid w:val="00286AF9"/>
    <w:rsid w:val="00286BF4"/>
    <w:rsid w:val="00286C7E"/>
    <w:rsid w:val="002872F3"/>
    <w:rsid w:val="002876FB"/>
    <w:rsid w:val="00287793"/>
    <w:rsid w:val="00287BBC"/>
    <w:rsid w:val="00287E62"/>
    <w:rsid w:val="00287F60"/>
    <w:rsid w:val="00287FBC"/>
    <w:rsid w:val="00290084"/>
    <w:rsid w:val="00290212"/>
    <w:rsid w:val="00290215"/>
    <w:rsid w:val="00290290"/>
    <w:rsid w:val="00290744"/>
    <w:rsid w:val="0029093D"/>
    <w:rsid w:val="00290B1F"/>
    <w:rsid w:val="002911E9"/>
    <w:rsid w:val="0029157C"/>
    <w:rsid w:val="00291B0A"/>
    <w:rsid w:val="00291C7B"/>
    <w:rsid w:val="00291FD7"/>
    <w:rsid w:val="002923C4"/>
    <w:rsid w:val="002924E7"/>
    <w:rsid w:val="00292651"/>
    <w:rsid w:val="00292A1E"/>
    <w:rsid w:val="00292C6F"/>
    <w:rsid w:val="002930C2"/>
    <w:rsid w:val="002933CD"/>
    <w:rsid w:val="00293417"/>
    <w:rsid w:val="002935B7"/>
    <w:rsid w:val="00294000"/>
    <w:rsid w:val="002940BA"/>
    <w:rsid w:val="00294189"/>
    <w:rsid w:val="002942E0"/>
    <w:rsid w:val="0029437A"/>
    <w:rsid w:val="00294891"/>
    <w:rsid w:val="00294D4A"/>
    <w:rsid w:val="00294D87"/>
    <w:rsid w:val="00294E08"/>
    <w:rsid w:val="002950EF"/>
    <w:rsid w:val="0029531E"/>
    <w:rsid w:val="00295410"/>
    <w:rsid w:val="002957EC"/>
    <w:rsid w:val="00295918"/>
    <w:rsid w:val="00295B17"/>
    <w:rsid w:val="00295C6A"/>
    <w:rsid w:val="00295E28"/>
    <w:rsid w:val="00295FAA"/>
    <w:rsid w:val="00295FAB"/>
    <w:rsid w:val="00295FB7"/>
    <w:rsid w:val="002961A1"/>
    <w:rsid w:val="00296329"/>
    <w:rsid w:val="002963C9"/>
    <w:rsid w:val="002965D2"/>
    <w:rsid w:val="002968E3"/>
    <w:rsid w:val="00296CB1"/>
    <w:rsid w:val="00296E36"/>
    <w:rsid w:val="0029765F"/>
    <w:rsid w:val="002976EE"/>
    <w:rsid w:val="00297BBF"/>
    <w:rsid w:val="00297D05"/>
    <w:rsid w:val="00297E2C"/>
    <w:rsid w:val="00297E54"/>
    <w:rsid w:val="002A0200"/>
    <w:rsid w:val="002A0653"/>
    <w:rsid w:val="002A065C"/>
    <w:rsid w:val="002A0881"/>
    <w:rsid w:val="002A09DE"/>
    <w:rsid w:val="002A0A83"/>
    <w:rsid w:val="002A0B1C"/>
    <w:rsid w:val="002A0F9E"/>
    <w:rsid w:val="002A1099"/>
    <w:rsid w:val="002A1527"/>
    <w:rsid w:val="002A1B28"/>
    <w:rsid w:val="002A1D27"/>
    <w:rsid w:val="002A214E"/>
    <w:rsid w:val="002A247A"/>
    <w:rsid w:val="002A2499"/>
    <w:rsid w:val="002A2615"/>
    <w:rsid w:val="002A271B"/>
    <w:rsid w:val="002A2AC4"/>
    <w:rsid w:val="002A2B51"/>
    <w:rsid w:val="002A2D41"/>
    <w:rsid w:val="002A2D9C"/>
    <w:rsid w:val="002A2E8C"/>
    <w:rsid w:val="002A3156"/>
    <w:rsid w:val="002A319B"/>
    <w:rsid w:val="002A31EE"/>
    <w:rsid w:val="002A331A"/>
    <w:rsid w:val="002A36B3"/>
    <w:rsid w:val="002A3D18"/>
    <w:rsid w:val="002A402C"/>
    <w:rsid w:val="002A41FD"/>
    <w:rsid w:val="002A4303"/>
    <w:rsid w:val="002A460C"/>
    <w:rsid w:val="002A47C0"/>
    <w:rsid w:val="002A4BDD"/>
    <w:rsid w:val="002A4D57"/>
    <w:rsid w:val="002A4EBD"/>
    <w:rsid w:val="002A509B"/>
    <w:rsid w:val="002A5104"/>
    <w:rsid w:val="002A5680"/>
    <w:rsid w:val="002A5AD8"/>
    <w:rsid w:val="002A5BA7"/>
    <w:rsid w:val="002A63C3"/>
    <w:rsid w:val="002A6A62"/>
    <w:rsid w:val="002A6CA2"/>
    <w:rsid w:val="002A6DB9"/>
    <w:rsid w:val="002A6FD1"/>
    <w:rsid w:val="002A7129"/>
    <w:rsid w:val="002A71B0"/>
    <w:rsid w:val="002A7214"/>
    <w:rsid w:val="002A73E8"/>
    <w:rsid w:val="002A757B"/>
    <w:rsid w:val="002A759C"/>
    <w:rsid w:val="002A7659"/>
    <w:rsid w:val="002A7798"/>
    <w:rsid w:val="002A78F1"/>
    <w:rsid w:val="002A79A4"/>
    <w:rsid w:val="002A7B1B"/>
    <w:rsid w:val="002A7E03"/>
    <w:rsid w:val="002A7EDB"/>
    <w:rsid w:val="002B041F"/>
    <w:rsid w:val="002B04B3"/>
    <w:rsid w:val="002B04E2"/>
    <w:rsid w:val="002B050C"/>
    <w:rsid w:val="002B0822"/>
    <w:rsid w:val="002B083D"/>
    <w:rsid w:val="002B102B"/>
    <w:rsid w:val="002B10DA"/>
    <w:rsid w:val="002B10DD"/>
    <w:rsid w:val="002B12CD"/>
    <w:rsid w:val="002B1A72"/>
    <w:rsid w:val="002B1CD9"/>
    <w:rsid w:val="002B1DB0"/>
    <w:rsid w:val="002B2303"/>
    <w:rsid w:val="002B2326"/>
    <w:rsid w:val="002B2393"/>
    <w:rsid w:val="002B2A12"/>
    <w:rsid w:val="002B2CC3"/>
    <w:rsid w:val="002B2DDF"/>
    <w:rsid w:val="002B2E6E"/>
    <w:rsid w:val="002B2EEA"/>
    <w:rsid w:val="002B2F55"/>
    <w:rsid w:val="002B3416"/>
    <w:rsid w:val="002B3458"/>
    <w:rsid w:val="002B37A9"/>
    <w:rsid w:val="002B393D"/>
    <w:rsid w:val="002B3CDF"/>
    <w:rsid w:val="002B3E1E"/>
    <w:rsid w:val="002B489E"/>
    <w:rsid w:val="002B4C00"/>
    <w:rsid w:val="002B4C9E"/>
    <w:rsid w:val="002B527D"/>
    <w:rsid w:val="002B5546"/>
    <w:rsid w:val="002B58F5"/>
    <w:rsid w:val="002B5BDC"/>
    <w:rsid w:val="002B6223"/>
    <w:rsid w:val="002B6265"/>
    <w:rsid w:val="002B670D"/>
    <w:rsid w:val="002B6949"/>
    <w:rsid w:val="002B6AFF"/>
    <w:rsid w:val="002B6B7D"/>
    <w:rsid w:val="002B7156"/>
    <w:rsid w:val="002B7334"/>
    <w:rsid w:val="002B77DE"/>
    <w:rsid w:val="002C0703"/>
    <w:rsid w:val="002C0770"/>
    <w:rsid w:val="002C0819"/>
    <w:rsid w:val="002C089A"/>
    <w:rsid w:val="002C0FCE"/>
    <w:rsid w:val="002C1130"/>
    <w:rsid w:val="002C132D"/>
    <w:rsid w:val="002C13B5"/>
    <w:rsid w:val="002C16D7"/>
    <w:rsid w:val="002C17DA"/>
    <w:rsid w:val="002C1DA9"/>
    <w:rsid w:val="002C2145"/>
    <w:rsid w:val="002C23C2"/>
    <w:rsid w:val="002C28AA"/>
    <w:rsid w:val="002C294E"/>
    <w:rsid w:val="002C3281"/>
    <w:rsid w:val="002C3897"/>
    <w:rsid w:val="002C399C"/>
    <w:rsid w:val="002C3F69"/>
    <w:rsid w:val="002C41E4"/>
    <w:rsid w:val="002C4241"/>
    <w:rsid w:val="002C4556"/>
    <w:rsid w:val="002C4580"/>
    <w:rsid w:val="002C45A3"/>
    <w:rsid w:val="002C4613"/>
    <w:rsid w:val="002C4686"/>
    <w:rsid w:val="002C4792"/>
    <w:rsid w:val="002C4CEE"/>
    <w:rsid w:val="002C4E43"/>
    <w:rsid w:val="002C5006"/>
    <w:rsid w:val="002C51BE"/>
    <w:rsid w:val="002C549D"/>
    <w:rsid w:val="002C580B"/>
    <w:rsid w:val="002C5A36"/>
    <w:rsid w:val="002C5F5F"/>
    <w:rsid w:val="002C634F"/>
    <w:rsid w:val="002C63D3"/>
    <w:rsid w:val="002C6551"/>
    <w:rsid w:val="002C65CB"/>
    <w:rsid w:val="002C6BBB"/>
    <w:rsid w:val="002C74BB"/>
    <w:rsid w:val="002C7518"/>
    <w:rsid w:val="002C7600"/>
    <w:rsid w:val="002C780A"/>
    <w:rsid w:val="002C7869"/>
    <w:rsid w:val="002C7A0E"/>
    <w:rsid w:val="002C7BD9"/>
    <w:rsid w:val="002C7C2F"/>
    <w:rsid w:val="002D057C"/>
    <w:rsid w:val="002D071C"/>
    <w:rsid w:val="002D082A"/>
    <w:rsid w:val="002D08A5"/>
    <w:rsid w:val="002D08FD"/>
    <w:rsid w:val="002D0A3C"/>
    <w:rsid w:val="002D0D7B"/>
    <w:rsid w:val="002D0EBB"/>
    <w:rsid w:val="002D13F4"/>
    <w:rsid w:val="002D1508"/>
    <w:rsid w:val="002D1554"/>
    <w:rsid w:val="002D16E1"/>
    <w:rsid w:val="002D194F"/>
    <w:rsid w:val="002D1B3D"/>
    <w:rsid w:val="002D1C6B"/>
    <w:rsid w:val="002D1D6E"/>
    <w:rsid w:val="002D1DFE"/>
    <w:rsid w:val="002D2378"/>
    <w:rsid w:val="002D245D"/>
    <w:rsid w:val="002D2693"/>
    <w:rsid w:val="002D26EC"/>
    <w:rsid w:val="002D298F"/>
    <w:rsid w:val="002D2AB5"/>
    <w:rsid w:val="002D2BAE"/>
    <w:rsid w:val="002D2CF0"/>
    <w:rsid w:val="002D2CFD"/>
    <w:rsid w:val="002D32F3"/>
    <w:rsid w:val="002D372C"/>
    <w:rsid w:val="002D382C"/>
    <w:rsid w:val="002D386C"/>
    <w:rsid w:val="002D389C"/>
    <w:rsid w:val="002D392B"/>
    <w:rsid w:val="002D3C26"/>
    <w:rsid w:val="002D472E"/>
    <w:rsid w:val="002D48D2"/>
    <w:rsid w:val="002D49A3"/>
    <w:rsid w:val="002D49F0"/>
    <w:rsid w:val="002D4B60"/>
    <w:rsid w:val="002D502C"/>
    <w:rsid w:val="002D554B"/>
    <w:rsid w:val="002D5A76"/>
    <w:rsid w:val="002D605C"/>
    <w:rsid w:val="002D60A8"/>
    <w:rsid w:val="002D6310"/>
    <w:rsid w:val="002D6337"/>
    <w:rsid w:val="002D6BD5"/>
    <w:rsid w:val="002D6D4D"/>
    <w:rsid w:val="002D70E1"/>
    <w:rsid w:val="002D7307"/>
    <w:rsid w:val="002D7534"/>
    <w:rsid w:val="002D7687"/>
    <w:rsid w:val="002D76F8"/>
    <w:rsid w:val="002D775F"/>
    <w:rsid w:val="002D7FBB"/>
    <w:rsid w:val="002E00C8"/>
    <w:rsid w:val="002E0328"/>
    <w:rsid w:val="002E05A2"/>
    <w:rsid w:val="002E0652"/>
    <w:rsid w:val="002E087F"/>
    <w:rsid w:val="002E0BF0"/>
    <w:rsid w:val="002E0C85"/>
    <w:rsid w:val="002E0D93"/>
    <w:rsid w:val="002E0E24"/>
    <w:rsid w:val="002E1008"/>
    <w:rsid w:val="002E1299"/>
    <w:rsid w:val="002E1353"/>
    <w:rsid w:val="002E1834"/>
    <w:rsid w:val="002E1C73"/>
    <w:rsid w:val="002E1E02"/>
    <w:rsid w:val="002E1F09"/>
    <w:rsid w:val="002E24AD"/>
    <w:rsid w:val="002E290A"/>
    <w:rsid w:val="002E2951"/>
    <w:rsid w:val="002E29FE"/>
    <w:rsid w:val="002E2FDF"/>
    <w:rsid w:val="002E3111"/>
    <w:rsid w:val="002E349B"/>
    <w:rsid w:val="002E35B8"/>
    <w:rsid w:val="002E3B6B"/>
    <w:rsid w:val="002E4114"/>
    <w:rsid w:val="002E4179"/>
    <w:rsid w:val="002E435C"/>
    <w:rsid w:val="002E45C5"/>
    <w:rsid w:val="002E46A3"/>
    <w:rsid w:val="002E46E5"/>
    <w:rsid w:val="002E4892"/>
    <w:rsid w:val="002E49A2"/>
    <w:rsid w:val="002E4AB7"/>
    <w:rsid w:val="002E53A3"/>
    <w:rsid w:val="002E541B"/>
    <w:rsid w:val="002E5504"/>
    <w:rsid w:val="002E55BE"/>
    <w:rsid w:val="002E5729"/>
    <w:rsid w:val="002E5A3E"/>
    <w:rsid w:val="002E5B49"/>
    <w:rsid w:val="002E5C52"/>
    <w:rsid w:val="002E5C97"/>
    <w:rsid w:val="002E6104"/>
    <w:rsid w:val="002E61B9"/>
    <w:rsid w:val="002E630D"/>
    <w:rsid w:val="002E6839"/>
    <w:rsid w:val="002E6B6A"/>
    <w:rsid w:val="002E6C4D"/>
    <w:rsid w:val="002E6FBA"/>
    <w:rsid w:val="002E7360"/>
    <w:rsid w:val="002E754A"/>
    <w:rsid w:val="002E7678"/>
    <w:rsid w:val="002E7BFE"/>
    <w:rsid w:val="002E7CF5"/>
    <w:rsid w:val="002F0308"/>
    <w:rsid w:val="002F0517"/>
    <w:rsid w:val="002F05B6"/>
    <w:rsid w:val="002F0831"/>
    <w:rsid w:val="002F0933"/>
    <w:rsid w:val="002F096D"/>
    <w:rsid w:val="002F0C0B"/>
    <w:rsid w:val="002F0D07"/>
    <w:rsid w:val="002F0FB3"/>
    <w:rsid w:val="002F10B6"/>
    <w:rsid w:val="002F1344"/>
    <w:rsid w:val="002F14AB"/>
    <w:rsid w:val="002F153E"/>
    <w:rsid w:val="002F1642"/>
    <w:rsid w:val="002F171F"/>
    <w:rsid w:val="002F191F"/>
    <w:rsid w:val="002F1B07"/>
    <w:rsid w:val="002F1E72"/>
    <w:rsid w:val="002F1EDA"/>
    <w:rsid w:val="002F2171"/>
    <w:rsid w:val="002F21B6"/>
    <w:rsid w:val="002F223C"/>
    <w:rsid w:val="002F22D7"/>
    <w:rsid w:val="002F2311"/>
    <w:rsid w:val="002F2499"/>
    <w:rsid w:val="002F2502"/>
    <w:rsid w:val="002F2919"/>
    <w:rsid w:val="002F30DC"/>
    <w:rsid w:val="002F32EB"/>
    <w:rsid w:val="002F344F"/>
    <w:rsid w:val="002F3905"/>
    <w:rsid w:val="002F3A95"/>
    <w:rsid w:val="002F3E9A"/>
    <w:rsid w:val="002F3F03"/>
    <w:rsid w:val="002F3FEE"/>
    <w:rsid w:val="002F41BD"/>
    <w:rsid w:val="002F425C"/>
    <w:rsid w:val="002F435B"/>
    <w:rsid w:val="002F46BF"/>
    <w:rsid w:val="002F4AF0"/>
    <w:rsid w:val="002F4DE7"/>
    <w:rsid w:val="002F4E80"/>
    <w:rsid w:val="002F4EC8"/>
    <w:rsid w:val="002F4F20"/>
    <w:rsid w:val="002F508A"/>
    <w:rsid w:val="002F5409"/>
    <w:rsid w:val="002F55A6"/>
    <w:rsid w:val="002F56B4"/>
    <w:rsid w:val="002F6226"/>
    <w:rsid w:val="002F6286"/>
    <w:rsid w:val="002F65EB"/>
    <w:rsid w:val="002F66ED"/>
    <w:rsid w:val="002F6922"/>
    <w:rsid w:val="002F75E3"/>
    <w:rsid w:val="002F77DA"/>
    <w:rsid w:val="002F7AAE"/>
    <w:rsid w:val="002F7B62"/>
    <w:rsid w:val="002F7C73"/>
    <w:rsid w:val="00300188"/>
    <w:rsid w:val="00300621"/>
    <w:rsid w:val="00300675"/>
    <w:rsid w:val="00300BC2"/>
    <w:rsid w:val="00300BDD"/>
    <w:rsid w:val="00300DA8"/>
    <w:rsid w:val="00301170"/>
    <w:rsid w:val="003012C0"/>
    <w:rsid w:val="00301324"/>
    <w:rsid w:val="00301552"/>
    <w:rsid w:val="00301833"/>
    <w:rsid w:val="00301DCA"/>
    <w:rsid w:val="00301F9F"/>
    <w:rsid w:val="003020FD"/>
    <w:rsid w:val="003023A0"/>
    <w:rsid w:val="00302572"/>
    <w:rsid w:val="00302746"/>
    <w:rsid w:val="00302B1D"/>
    <w:rsid w:val="00302B60"/>
    <w:rsid w:val="003032FF"/>
    <w:rsid w:val="003037A5"/>
    <w:rsid w:val="003037B6"/>
    <w:rsid w:val="0030383C"/>
    <w:rsid w:val="003042B5"/>
    <w:rsid w:val="00304390"/>
    <w:rsid w:val="00304411"/>
    <w:rsid w:val="0030455F"/>
    <w:rsid w:val="0030559A"/>
    <w:rsid w:val="00305C66"/>
    <w:rsid w:val="0030619D"/>
    <w:rsid w:val="0030677D"/>
    <w:rsid w:val="00307084"/>
    <w:rsid w:val="0030733A"/>
    <w:rsid w:val="00307377"/>
    <w:rsid w:val="00307585"/>
    <w:rsid w:val="00307708"/>
    <w:rsid w:val="00307AAB"/>
    <w:rsid w:val="00307B40"/>
    <w:rsid w:val="0031037C"/>
    <w:rsid w:val="00310831"/>
    <w:rsid w:val="00310A55"/>
    <w:rsid w:val="00310E56"/>
    <w:rsid w:val="00311033"/>
    <w:rsid w:val="003113B0"/>
    <w:rsid w:val="0031146B"/>
    <w:rsid w:val="003116D7"/>
    <w:rsid w:val="003116E9"/>
    <w:rsid w:val="00311810"/>
    <w:rsid w:val="00311A14"/>
    <w:rsid w:val="00311F6D"/>
    <w:rsid w:val="00312125"/>
    <w:rsid w:val="0031280A"/>
    <w:rsid w:val="003128E2"/>
    <w:rsid w:val="00312E4B"/>
    <w:rsid w:val="00313222"/>
    <w:rsid w:val="003133DE"/>
    <w:rsid w:val="0031346E"/>
    <w:rsid w:val="0031352F"/>
    <w:rsid w:val="00313647"/>
    <w:rsid w:val="00313829"/>
    <w:rsid w:val="0031388A"/>
    <w:rsid w:val="003139B2"/>
    <w:rsid w:val="00313A7C"/>
    <w:rsid w:val="00313F63"/>
    <w:rsid w:val="0031406F"/>
    <w:rsid w:val="003142AD"/>
    <w:rsid w:val="003145AD"/>
    <w:rsid w:val="003146CF"/>
    <w:rsid w:val="003146D0"/>
    <w:rsid w:val="003147F1"/>
    <w:rsid w:val="00314A3C"/>
    <w:rsid w:val="003156D1"/>
    <w:rsid w:val="00315A24"/>
    <w:rsid w:val="00315BCF"/>
    <w:rsid w:val="00315CB8"/>
    <w:rsid w:val="00315D1E"/>
    <w:rsid w:val="00316112"/>
    <w:rsid w:val="00316241"/>
    <w:rsid w:val="003169B6"/>
    <w:rsid w:val="00316B8E"/>
    <w:rsid w:val="00316EA0"/>
    <w:rsid w:val="0031712B"/>
    <w:rsid w:val="0031723F"/>
    <w:rsid w:val="003175A3"/>
    <w:rsid w:val="003175CE"/>
    <w:rsid w:val="00317740"/>
    <w:rsid w:val="00317791"/>
    <w:rsid w:val="003177A8"/>
    <w:rsid w:val="00317A66"/>
    <w:rsid w:val="00317AD5"/>
    <w:rsid w:val="00317D93"/>
    <w:rsid w:val="003201BA"/>
    <w:rsid w:val="0032063E"/>
    <w:rsid w:val="00320665"/>
    <w:rsid w:val="003206B5"/>
    <w:rsid w:val="00320816"/>
    <w:rsid w:val="003209AC"/>
    <w:rsid w:val="003211A1"/>
    <w:rsid w:val="00321308"/>
    <w:rsid w:val="00321894"/>
    <w:rsid w:val="00321BB7"/>
    <w:rsid w:val="00321CA4"/>
    <w:rsid w:val="00321E39"/>
    <w:rsid w:val="00321EC5"/>
    <w:rsid w:val="0032202F"/>
    <w:rsid w:val="003220A7"/>
    <w:rsid w:val="003223A1"/>
    <w:rsid w:val="003223F1"/>
    <w:rsid w:val="0032243F"/>
    <w:rsid w:val="0032251F"/>
    <w:rsid w:val="0032252B"/>
    <w:rsid w:val="00322B4E"/>
    <w:rsid w:val="00323244"/>
    <w:rsid w:val="00323460"/>
    <w:rsid w:val="003238F2"/>
    <w:rsid w:val="00323AAA"/>
    <w:rsid w:val="00323E9A"/>
    <w:rsid w:val="003242D2"/>
    <w:rsid w:val="00324535"/>
    <w:rsid w:val="00324667"/>
    <w:rsid w:val="00324733"/>
    <w:rsid w:val="00324C6C"/>
    <w:rsid w:val="00324C74"/>
    <w:rsid w:val="0032519B"/>
    <w:rsid w:val="0032549D"/>
    <w:rsid w:val="00325633"/>
    <w:rsid w:val="0032582F"/>
    <w:rsid w:val="00325AB4"/>
    <w:rsid w:val="00325BA5"/>
    <w:rsid w:val="00325F34"/>
    <w:rsid w:val="00325FB0"/>
    <w:rsid w:val="00326029"/>
    <w:rsid w:val="00326065"/>
    <w:rsid w:val="00326292"/>
    <w:rsid w:val="00326488"/>
    <w:rsid w:val="00326615"/>
    <w:rsid w:val="003268D3"/>
    <w:rsid w:val="003268DC"/>
    <w:rsid w:val="00326DAF"/>
    <w:rsid w:val="00326DF2"/>
    <w:rsid w:val="003271E1"/>
    <w:rsid w:val="0032743A"/>
    <w:rsid w:val="00327526"/>
    <w:rsid w:val="003276ED"/>
    <w:rsid w:val="00327732"/>
    <w:rsid w:val="00327A2D"/>
    <w:rsid w:val="00327B93"/>
    <w:rsid w:val="00327C5C"/>
    <w:rsid w:val="00327E67"/>
    <w:rsid w:val="003301E4"/>
    <w:rsid w:val="00330212"/>
    <w:rsid w:val="003303A1"/>
    <w:rsid w:val="003306A0"/>
    <w:rsid w:val="00330DCC"/>
    <w:rsid w:val="00330E2E"/>
    <w:rsid w:val="003310BC"/>
    <w:rsid w:val="0033151B"/>
    <w:rsid w:val="003316F3"/>
    <w:rsid w:val="00331847"/>
    <w:rsid w:val="00331928"/>
    <w:rsid w:val="00331969"/>
    <w:rsid w:val="00331C1B"/>
    <w:rsid w:val="00331C84"/>
    <w:rsid w:val="00331D8F"/>
    <w:rsid w:val="00331DE2"/>
    <w:rsid w:val="00331F49"/>
    <w:rsid w:val="00331F98"/>
    <w:rsid w:val="00332035"/>
    <w:rsid w:val="0033207D"/>
    <w:rsid w:val="00332138"/>
    <w:rsid w:val="00332450"/>
    <w:rsid w:val="003325C0"/>
    <w:rsid w:val="0033277A"/>
    <w:rsid w:val="00332828"/>
    <w:rsid w:val="003329B1"/>
    <w:rsid w:val="00332A09"/>
    <w:rsid w:val="00332F1A"/>
    <w:rsid w:val="00332F5A"/>
    <w:rsid w:val="003332B5"/>
    <w:rsid w:val="00333528"/>
    <w:rsid w:val="00333529"/>
    <w:rsid w:val="003336DF"/>
    <w:rsid w:val="0033375A"/>
    <w:rsid w:val="00333974"/>
    <w:rsid w:val="00333C99"/>
    <w:rsid w:val="00333DFF"/>
    <w:rsid w:val="003340AB"/>
    <w:rsid w:val="0033427A"/>
    <w:rsid w:val="00334327"/>
    <w:rsid w:val="003343A3"/>
    <w:rsid w:val="00334713"/>
    <w:rsid w:val="003347AE"/>
    <w:rsid w:val="0033532B"/>
    <w:rsid w:val="003353B0"/>
    <w:rsid w:val="003353C8"/>
    <w:rsid w:val="0033572B"/>
    <w:rsid w:val="00335B45"/>
    <w:rsid w:val="00335CE3"/>
    <w:rsid w:val="003361E1"/>
    <w:rsid w:val="00336610"/>
    <w:rsid w:val="003369D0"/>
    <w:rsid w:val="00336CA2"/>
    <w:rsid w:val="00336ED0"/>
    <w:rsid w:val="00336F62"/>
    <w:rsid w:val="003371B2"/>
    <w:rsid w:val="003372E0"/>
    <w:rsid w:val="003372F5"/>
    <w:rsid w:val="003375E7"/>
    <w:rsid w:val="00337676"/>
    <w:rsid w:val="0033781F"/>
    <w:rsid w:val="00337A15"/>
    <w:rsid w:val="00337DE6"/>
    <w:rsid w:val="0034009B"/>
    <w:rsid w:val="003407E0"/>
    <w:rsid w:val="003409DB"/>
    <w:rsid w:val="00341306"/>
    <w:rsid w:val="0034136D"/>
    <w:rsid w:val="0034146D"/>
    <w:rsid w:val="0034154D"/>
    <w:rsid w:val="00341EC3"/>
    <w:rsid w:val="0034243F"/>
    <w:rsid w:val="003426BB"/>
    <w:rsid w:val="003427B9"/>
    <w:rsid w:val="00342A50"/>
    <w:rsid w:val="00342B0A"/>
    <w:rsid w:val="003430A6"/>
    <w:rsid w:val="0034335D"/>
    <w:rsid w:val="0034338C"/>
    <w:rsid w:val="00343412"/>
    <w:rsid w:val="0034345B"/>
    <w:rsid w:val="003434E1"/>
    <w:rsid w:val="00343524"/>
    <w:rsid w:val="00343567"/>
    <w:rsid w:val="003437A9"/>
    <w:rsid w:val="0034392B"/>
    <w:rsid w:val="00343A19"/>
    <w:rsid w:val="00343BDD"/>
    <w:rsid w:val="00343DCF"/>
    <w:rsid w:val="0034476D"/>
    <w:rsid w:val="0034483F"/>
    <w:rsid w:val="00344853"/>
    <w:rsid w:val="00344B87"/>
    <w:rsid w:val="003450EA"/>
    <w:rsid w:val="00345131"/>
    <w:rsid w:val="003454B7"/>
    <w:rsid w:val="00345ACC"/>
    <w:rsid w:val="003467C0"/>
    <w:rsid w:val="00346A5F"/>
    <w:rsid w:val="0034704B"/>
    <w:rsid w:val="00347117"/>
    <w:rsid w:val="00347795"/>
    <w:rsid w:val="003477AB"/>
    <w:rsid w:val="003477B8"/>
    <w:rsid w:val="003477D4"/>
    <w:rsid w:val="00347820"/>
    <w:rsid w:val="003479BD"/>
    <w:rsid w:val="003479C1"/>
    <w:rsid w:val="00347BD0"/>
    <w:rsid w:val="003502A3"/>
    <w:rsid w:val="00350B40"/>
    <w:rsid w:val="00350C4A"/>
    <w:rsid w:val="00350E4D"/>
    <w:rsid w:val="0035126F"/>
    <w:rsid w:val="0035128C"/>
    <w:rsid w:val="00351CE9"/>
    <w:rsid w:val="00352297"/>
    <w:rsid w:val="003522BD"/>
    <w:rsid w:val="003526C0"/>
    <w:rsid w:val="0035291F"/>
    <w:rsid w:val="00352A0A"/>
    <w:rsid w:val="00352CFF"/>
    <w:rsid w:val="00352F3D"/>
    <w:rsid w:val="00353377"/>
    <w:rsid w:val="00353ADF"/>
    <w:rsid w:val="00353BE3"/>
    <w:rsid w:val="00353F6A"/>
    <w:rsid w:val="00353F9B"/>
    <w:rsid w:val="00354141"/>
    <w:rsid w:val="00354A43"/>
    <w:rsid w:val="00354D4C"/>
    <w:rsid w:val="00354FC8"/>
    <w:rsid w:val="003551C7"/>
    <w:rsid w:val="0035521E"/>
    <w:rsid w:val="00355235"/>
    <w:rsid w:val="00355431"/>
    <w:rsid w:val="00355559"/>
    <w:rsid w:val="00355832"/>
    <w:rsid w:val="00355880"/>
    <w:rsid w:val="00355A1C"/>
    <w:rsid w:val="00355D29"/>
    <w:rsid w:val="00355EFA"/>
    <w:rsid w:val="0035618D"/>
    <w:rsid w:val="003561BA"/>
    <w:rsid w:val="00356370"/>
    <w:rsid w:val="00356695"/>
    <w:rsid w:val="00356B94"/>
    <w:rsid w:val="00356CD0"/>
    <w:rsid w:val="00356D42"/>
    <w:rsid w:val="00356F89"/>
    <w:rsid w:val="00357096"/>
    <w:rsid w:val="003571E6"/>
    <w:rsid w:val="00357277"/>
    <w:rsid w:val="0035763B"/>
    <w:rsid w:val="003576FF"/>
    <w:rsid w:val="00357A5D"/>
    <w:rsid w:val="00357F60"/>
    <w:rsid w:val="003601C0"/>
    <w:rsid w:val="00360253"/>
    <w:rsid w:val="00360477"/>
    <w:rsid w:val="00360521"/>
    <w:rsid w:val="00360706"/>
    <w:rsid w:val="00360A95"/>
    <w:rsid w:val="00360B89"/>
    <w:rsid w:val="00360E2B"/>
    <w:rsid w:val="00360FD5"/>
    <w:rsid w:val="00360FF3"/>
    <w:rsid w:val="0036116F"/>
    <w:rsid w:val="00361462"/>
    <w:rsid w:val="003614E8"/>
    <w:rsid w:val="00361C47"/>
    <w:rsid w:val="00361EF9"/>
    <w:rsid w:val="003626AB"/>
    <w:rsid w:val="00362713"/>
    <w:rsid w:val="00362718"/>
    <w:rsid w:val="003627F0"/>
    <w:rsid w:val="00362FE3"/>
    <w:rsid w:val="0036336D"/>
    <w:rsid w:val="00363577"/>
    <w:rsid w:val="00363783"/>
    <w:rsid w:val="00363951"/>
    <w:rsid w:val="003639E8"/>
    <w:rsid w:val="00363A65"/>
    <w:rsid w:val="00363CED"/>
    <w:rsid w:val="003642BA"/>
    <w:rsid w:val="00364455"/>
    <w:rsid w:val="003645A9"/>
    <w:rsid w:val="0036488B"/>
    <w:rsid w:val="00364979"/>
    <w:rsid w:val="00364FCA"/>
    <w:rsid w:val="003653AF"/>
    <w:rsid w:val="0036566E"/>
    <w:rsid w:val="003657C3"/>
    <w:rsid w:val="00365B22"/>
    <w:rsid w:val="00365B8C"/>
    <w:rsid w:val="00365BF9"/>
    <w:rsid w:val="00365E36"/>
    <w:rsid w:val="00366007"/>
    <w:rsid w:val="003664E1"/>
    <w:rsid w:val="00366575"/>
    <w:rsid w:val="00366D1B"/>
    <w:rsid w:val="0036700D"/>
    <w:rsid w:val="00367118"/>
    <w:rsid w:val="003671E8"/>
    <w:rsid w:val="003677BA"/>
    <w:rsid w:val="0036783B"/>
    <w:rsid w:val="00367A8E"/>
    <w:rsid w:val="00367C9F"/>
    <w:rsid w:val="00367D51"/>
    <w:rsid w:val="00367FA6"/>
    <w:rsid w:val="00370199"/>
    <w:rsid w:val="00370340"/>
    <w:rsid w:val="00370500"/>
    <w:rsid w:val="0037065D"/>
    <w:rsid w:val="003708CF"/>
    <w:rsid w:val="00370A44"/>
    <w:rsid w:val="00370D95"/>
    <w:rsid w:val="00370F16"/>
    <w:rsid w:val="0037107C"/>
    <w:rsid w:val="0037170D"/>
    <w:rsid w:val="0037189B"/>
    <w:rsid w:val="00371A46"/>
    <w:rsid w:val="00371B90"/>
    <w:rsid w:val="00371BAA"/>
    <w:rsid w:val="00371D1B"/>
    <w:rsid w:val="00371F91"/>
    <w:rsid w:val="00372027"/>
    <w:rsid w:val="00372210"/>
    <w:rsid w:val="0037254F"/>
    <w:rsid w:val="00372657"/>
    <w:rsid w:val="0037272E"/>
    <w:rsid w:val="0037292D"/>
    <w:rsid w:val="003729CB"/>
    <w:rsid w:val="003729F2"/>
    <w:rsid w:val="00372B82"/>
    <w:rsid w:val="00372D81"/>
    <w:rsid w:val="00372F13"/>
    <w:rsid w:val="00372F32"/>
    <w:rsid w:val="00372FA5"/>
    <w:rsid w:val="003731DA"/>
    <w:rsid w:val="003735E9"/>
    <w:rsid w:val="0037393C"/>
    <w:rsid w:val="00373BCE"/>
    <w:rsid w:val="00373CE7"/>
    <w:rsid w:val="00373E29"/>
    <w:rsid w:val="00373F69"/>
    <w:rsid w:val="00373FBF"/>
    <w:rsid w:val="003747EB"/>
    <w:rsid w:val="003753EE"/>
    <w:rsid w:val="00375589"/>
    <w:rsid w:val="0037567A"/>
    <w:rsid w:val="0037581F"/>
    <w:rsid w:val="00375DEC"/>
    <w:rsid w:val="00376BD7"/>
    <w:rsid w:val="00376CFF"/>
    <w:rsid w:val="00376FB3"/>
    <w:rsid w:val="00376FDD"/>
    <w:rsid w:val="00377010"/>
    <w:rsid w:val="0037705F"/>
    <w:rsid w:val="0037734A"/>
    <w:rsid w:val="003777BF"/>
    <w:rsid w:val="003777C0"/>
    <w:rsid w:val="0037792D"/>
    <w:rsid w:val="00377D88"/>
    <w:rsid w:val="00380039"/>
    <w:rsid w:val="003801B9"/>
    <w:rsid w:val="00380203"/>
    <w:rsid w:val="0038036C"/>
    <w:rsid w:val="003805D0"/>
    <w:rsid w:val="003809FD"/>
    <w:rsid w:val="00380B99"/>
    <w:rsid w:val="00380E18"/>
    <w:rsid w:val="00380F2E"/>
    <w:rsid w:val="00380F35"/>
    <w:rsid w:val="00380F40"/>
    <w:rsid w:val="0038129E"/>
    <w:rsid w:val="0038139E"/>
    <w:rsid w:val="00381628"/>
    <w:rsid w:val="00381640"/>
    <w:rsid w:val="0038189C"/>
    <w:rsid w:val="0038199C"/>
    <w:rsid w:val="00381ABB"/>
    <w:rsid w:val="00381F2F"/>
    <w:rsid w:val="00382388"/>
    <w:rsid w:val="0038246E"/>
    <w:rsid w:val="003824B5"/>
    <w:rsid w:val="0038265B"/>
    <w:rsid w:val="00382A3B"/>
    <w:rsid w:val="00382C35"/>
    <w:rsid w:val="00382E20"/>
    <w:rsid w:val="00382EF5"/>
    <w:rsid w:val="00382F88"/>
    <w:rsid w:val="003830FB"/>
    <w:rsid w:val="0038346E"/>
    <w:rsid w:val="003839E6"/>
    <w:rsid w:val="00383A76"/>
    <w:rsid w:val="00383CD2"/>
    <w:rsid w:val="0038434E"/>
    <w:rsid w:val="003845A4"/>
    <w:rsid w:val="003845CA"/>
    <w:rsid w:val="0038497C"/>
    <w:rsid w:val="00384E9F"/>
    <w:rsid w:val="00384EC5"/>
    <w:rsid w:val="003855A0"/>
    <w:rsid w:val="003858B9"/>
    <w:rsid w:val="003859A0"/>
    <w:rsid w:val="00385A58"/>
    <w:rsid w:val="00385B82"/>
    <w:rsid w:val="00385F51"/>
    <w:rsid w:val="00386079"/>
    <w:rsid w:val="003860BD"/>
    <w:rsid w:val="00386118"/>
    <w:rsid w:val="00386284"/>
    <w:rsid w:val="003865B4"/>
    <w:rsid w:val="00386604"/>
    <w:rsid w:val="00386964"/>
    <w:rsid w:val="00386B36"/>
    <w:rsid w:val="00386D6E"/>
    <w:rsid w:val="00386F74"/>
    <w:rsid w:val="00387528"/>
    <w:rsid w:val="0038771F"/>
    <w:rsid w:val="003878DA"/>
    <w:rsid w:val="00387B0A"/>
    <w:rsid w:val="00387BB0"/>
    <w:rsid w:val="00387BE7"/>
    <w:rsid w:val="00387E88"/>
    <w:rsid w:val="003900BC"/>
    <w:rsid w:val="003900D8"/>
    <w:rsid w:val="00390334"/>
    <w:rsid w:val="00390596"/>
    <w:rsid w:val="00390671"/>
    <w:rsid w:val="00390A30"/>
    <w:rsid w:val="00390AC7"/>
    <w:rsid w:val="00390D33"/>
    <w:rsid w:val="00391097"/>
    <w:rsid w:val="003912F8"/>
    <w:rsid w:val="00391582"/>
    <w:rsid w:val="00391666"/>
    <w:rsid w:val="00391CF9"/>
    <w:rsid w:val="00391DB2"/>
    <w:rsid w:val="00391F53"/>
    <w:rsid w:val="0039291A"/>
    <w:rsid w:val="0039293B"/>
    <w:rsid w:val="00392941"/>
    <w:rsid w:val="00392B13"/>
    <w:rsid w:val="0039318D"/>
    <w:rsid w:val="003931F8"/>
    <w:rsid w:val="00393419"/>
    <w:rsid w:val="003935BC"/>
    <w:rsid w:val="00393877"/>
    <w:rsid w:val="00393901"/>
    <w:rsid w:val="00393D8D"/>
    <w:rsid w:val="00393F42"/>
    <w:rsid w:val="003940EC"/>
    <w:rsid w:val="00394212"/>
    <w:rsid w:val="0039436B"/>
    <w:rsid w:val="00395183"/>
    <w:rsid w:val="00395764"/>
    <w:rsid w:val="00395EB8"/>
    <w:rsid w:val="00396384"/>
    <w:rsid w:val="0039684B"/>
    <w:rsid w:val="00396E94"/>
    <w:rsid w:val="00397182"/>
    <w:rsid w:val="00397472"/>
    <w:rsid w:val="00397912"/>
    <w:rsid w:val="00397BE5"/>
    <w:rsid w:val="00397F38"/>
    <w:rsid w:val="003A0077"/>
    <w:rsid w:val="003A02C8"/>
    <w:rsid w:val="003A036C"/>
    <w:rsid w:val="003A041F"/>
    <w:rsid w:val="003A047E"/>
    <w:rsid w:val="003A0496"/>
    <w:rsid w:val="003A05D4"/>
    <w:rsid w:val="003A140B"/>
    <w:rsid w:val="003A162C"/>
    <w:rsid w:val="003A1674"/>
    <w:rsid w:val="003A173E"/>
    <w:rsid w:val="003A1853"/>
    <w:rsid w:val="003A188B"/>
    <w:rsid w:val="003A1A64"/>
    <w:rsid w:val="003A1A6D"/>
    <w:rsid w:val="003A1C13"/>
    <w:rsid w:val="003A1E23"/>
    <w:rsid w:val="003A1FC0"/>
    <w:rsid w:val="003A226E"/>
    <w:rsid w:val="003A233F"/>
    <w:rsid w:val="003A23AF"/>
    <w:rsid w:val="003A251C"/>
    <w:rsid w:val="003A281C"/>
    <w:rsid w:val="003A2822"/>
    <w:rsid w:val="003A2887"/>
    <w:rsid w:val="003A28E2"/>
    <w:rsid w:val="003A2CB6"/>
    <w:rsid w:val="003A366E"/>
    <w:rsid w:val="003A3A4A"/>
    <w:rsid w:val="003A3DC3"/>
    <w:rsid w:val="003A43B5"/>
    <w:rsid w:val="003A4FEA"/>
    <w:rsid w:val="003A5171"/>
    <w:rsid w:val="003A5306"/>
    <w:rsid w:val="003A588A"/>
    <w:rsid w:val="003A5ABF"/>
    <w:rsid w:val="003A5AD3"/>
    <w:rsid w:val="003A5FC9"/>
    <w:rsid w:val="003A61CE"/>
    <w:rsid w:val="003A696A"/>
    <w:rsid w:val="003A696D"/>
    <w:rsid w:val="003A6C83"/>
    <w:rsid w:val="003A6E0A"/>
    <w:rsid w:val="003A7031"/>
    <w:rsid w:val="003A7278"/>
    <w:rsid w:val="003A74F5"/>
    <w:rsid w:val="003A786E"/>
    <w:rsid w:val="003A7B8C"/>
    <w:rsid w:val="003A7CB2"/>
    <w:rsid w:val="003A7D1B"/>
    <w:rsid w:val="003B000B"/>
    <w:rsid w:val="003B00F7"/>
    <w:rsid w:val="003B01B7"/>
    <w:rsid w:val="003B0341"/>
    <w:rsid w:val="003B03CB"/>
    <w:rsid w:val="003B0A04"/>
    <w:rsid w:val="003B0B2B"/>
    <w:rsid w:val="003B0C8B"/>
    <w:rsid w:val="003B0FD9"/>
    <w:rsid w:val="003B11BA"/>
    <w:rsid w:val="003B1298"/>
    <w:rsid w:val="003B161A"/>
    <w:rsid w:val="003B197C"/>
    <w:rsid w:val="003B1D73"/>
    <w:rsid w:val="003B1DB3"/>
    <w:rsid w:val="003B1E3D"/>
    <w:rsid w:val="003B1EDD"/>
    <w:rsid w:val="003B201D"/>
    <w:rsid w:val="003B215A"/>
    <w:rsid w:val="003B24AC"/>
    <w:rsid w:val="003B2C89"/>
    <w:rsid w:val="003B2FA3"/>
    <w:rsid w:val="003B34C5"/>
    <w:rsid w:val="003B3631"/>
    <w:rsid w:val="003B3BA9"/>
    <w:rsid w:val="003B40BC"/>
    <w:rsid w:val="003B4145"/>
    <w:rsid w:val="003B418F"/>
    <w:rsid w:val="003B439E"/>
    <w:rsid w:val="003B4483"/>
    <w:rsid w:val="003B4613"/>
    <w:rsid w:val="003B4B95"/>
    <w:rsid w:val="003B4BAA"/>
    <w:rsid w:val="003B4C3D"/>
    <w:rsid w:val="003B4CEB"/>
    <w:rsid w:val="003B4DC8"/>
    <w:rsid w:val="003B52B3"/>
    <w:rsid w:val="003B56F4"/>
    <w:rsid w:val="003B57F3"/>
    <w:rsid w:val="003B5F6F"/>
    <w:rsid w:val="003B5F91"/>
    <w:rsid w:val="003B60B4"/>
    <w:rsid w:val="003B6173"/>
    <w:rsid w:val="003B6185"/>
    <w:rsid w:val="003B65ED"/>
    <w:rsid w:val="003B6A05"/>
    <w:rsid w:val="003B6FE8"/>
    <w:rsid w:val="003B6FFC"/>
    <w:rsid w:val="003B72D4"/>
    <w:rsid w:val="003B771B"/>
    <w:rsid w:val="003B7A47"/>
    <w:rsid w:val="003B7A82"/>
    <w:rsid w:val="003B7B60"/>
    <w:rsid w:val="003B7CD2"/>
    <w:rsid w:val="003B7CE4"/>
    <w:rsid w:val="003B7E2C"/>
    <w:rsid w:val="003C0251"/>
    <w:rsid w:val="003C029B"/>
    <w:rsid w:val="003C0354"/>
    <w:rsid w:val="003C05B3"/>
    <w:rsid w:val="003C064B"/>
    <w:rsid w:val="003C0A8E"/>
    <w:rsid w:val="003C0D75"/>
    <w:rsid w:val="003C0FD1"/>
    <w:rsid w:val="003C176E"/>
    <w:rsid w:val="003C177B"/>
    <w:rsid w:val="003C190A"/>
    <w:rsid w:val="003C1C81"/>
    <w:rsid w:val="003C1E67"/>
    <w:rsid w:val="003C1F93"/>
    <w:rsid w:val="003C1FB4"/>
    <w:rsid w:val="003C23C0"/>
    <w:rsid w:val="003C24F2"/>
    <w:rsid w:val="003C2608"/>
    <w:rsid w:val="003C2A67"/>
    <w:rsid w:val="003C2F66"/>
    <w:rsid w:val="003C3193"/>
    <w:rsid w:val="003C339D"/>
    <w:rsid w:val="003C3586"/>
    <w:rsid w:val="003C3976"/>
    <w:rsid w:val="003C3E63"/>
    <w:rsid w:val="003C3FD2"/>
    <w:rsid w:val="003C42A6"/>
    <w:rsid w:val="003C4806"/>
    <w:rsid w:val="003C4BC5"/>
    <w:rsid w:val="003C4BDF"/>
    <w:rsid w:val="003C4C41"/>
    <w:rsid w:val="003C4CB5"/>
    <w:rsid w:val="003C4D05"/>
    <w:rsid w:val="003C4E7E"/>
    <w:rsid w:val="003C5024"/>
    <w:rsid w:val="003C52BD"/>
    <w:rsid w:val="003C5601"/>
    <w:rsid w:val="003C5746"/>
    <w:rsid w:val="003C5885"/>
    <w:rsid w:val="003C590B"/>
    <w:rsid w:val="003C5999"/>
    <w:rsid w:val="003C5EB8"/>
    <w:rsid w:val="003C62EF"/>
    <w:rsid w:val="003C65AF"/>
    <w:rsid w:val="003C689C"/>
    <w:rsid w:val="003C6ADA"/>
    <w:rsid w:val="003C6F09"/>
    <w:rsid w:val="003C703E"/>
    <w:rsid w:val="003C7139"/>
    <w:rsid w:val="003C71A1"/>
    <w:rsid w:val="003C7280"/>
    <w:rsid w:val="003C7412"/>
    <w:rsid w:val="003C7582"/>
    <w:rsid w:val="003C78CD"/>
    <w:rsid w:val="003C7B7A"/>
    <w:rsid w:val="003D0411"/>
    <w:rsid w:val="003D0473"/>
    <w:rsid w:val="003D0511"/>
    <w:rsid w:val="003D06C4"/>
    <w:rsid w:val="003D088A"/>
    <w:rsid w:val="003D0C46"/>
    <w:rsid w:val="003D0E32"/>
    <w:rsid w:val="003D10D9"/>
    <w:rsid w:val="003D10EC"/>
    <w:rsid w:val="003D1433"/>
    <w:rsid w:val="003D18C7"/>
    <w:rsid w:val="003D1D75"/>
    <w:rsid w:val="003D1EE9"/>
    <w:rsid w:val="003D1EFF"/>
    <w:rsid w:val="003D1F5F"/>
    <w:rsid w:val="003D201D"/>
    <w:rsid w:val="003D24A5"/>
    <w:rsid w:val="003D24EC"/>
    <w:rsid w:val="003D266F"/>
    <w:rsid w:val="003D27B8"/>
    <w:rsid w:val="003D2A71"/>
    <w:rsid w:val="003D2B8E"/>
    <w:rsid w:val="003D307C"/>
    <w:rsid w:val="003D3263"/>
    <w:rsid w:val="003D32D8"/>
    <w:rsid w:val="003D34C8"/>
    <w:rsid w:val="003D3A12"/>
    <w:rsid w:val="003D3CA5"/>
    <w:rsid w:val="003D3D6F"/>
    <w:rsid w:val="003D4097"/>
    <w:rsid w:val="003D4155"/>
    <w:rsid w:val="003D4769"/>
    <w:rsid w:val="003D4924"/>
    <w:rsid w:val="003D4C47"/>
    <w:rsid w:val="003D4CF1"/>
    <w:rsid w:val="003D4D88"/>
    <w:rsid w:val="003D50B7"/>
    <w:rsid w:val="003D516F"/>
    <w:rsid w:val="003D5981"/>
    <w:rsid w:val="003D5B71"/>
    <w:rsid w:val="003D5DEC"/>
    <w:rsid w:val="003D6486"/>
    <w:rsid w:val="003D65DE"/>
    <w:rsid w:val="003D6680"/>
    <w:rsid w:val="003D682D"/>
    <w:rsid w:val="003D7186"/>
    <w:rsid w:val="003D7352"/>
    <w:rsid w:val="003D748B"/>
    <w:rsid w:val="003D74DA"/>
    <w:rsid w:val="003D763D"/>
    <w:rsid w:val="003D7692"/>
    <w:rsid w:val="003D779E"/>
    <w:rsid w:val="003D7D91"/>
    <w:rsid w:val="003E0165"/>
    <w:rsid w:val="003E01ED"/>
    <w:rsid w:val="003E03EE"/>
    <w:rsid w:val="003E061C"/>
    <w:rsid w:val="003E09EB"/>
    <w:rsid w:val="003E0D8C"/>
    <w:rsid w:val="003E1122"/>
    <w:rsid w:val="003E14E9"/>
    <w:rsid w:val="003E1665"/>
    <w:rsid w:val="003E16D4"/>
    <w:rsid w:val="003E1936"/>
    <w:rsid w:val="003E1B68"/>
    <w:rsid w:val="003E1C14"/>
    <w:rsid w:val="003E2344"/>
    <w:rsid w:val="003E2485"/>
    <w:rsid w:val="003E27AC"/>
    <w:rsid w:val="003E29E5"/>
    <w:rsid w:val="003E2A0C"/>
    <w:rsid w:val="003E2D8A"/>
    <w:rsid w:val="003E2DA2"/>
    <w:rsid w:val="003E3173"/>
    <w:rsid w:val="003E31D4"/>
    <w:rsid w:val="003E34BA"/>
    <w:rsid w:val="003E382C"/>
    <w:rsid w:val="003E3B95"/>
    <w:rsid w:val="003E3C8D"/>
    <w:rsid w:val="003E40AF"/>
    <w:rsid w:val="003E4163"/>
    <w:rsid w:val="003E421A"/>
    <w:rsid w:val="003E4262"/>
    <w:rsid w:val="003E435A"/>
    <w:rsid w:val="003E43B5"/>
    <w:rsid w:val="003E43CE"/>
    <w:rsid w:val="003E4455"/>
    <w:rsid w:val="003E4597"/>
    <w:rsid w:val="003E45C8"/>
    <w:rsid w:val="003E4878"/>
    <w:rsid w:val="003E4945"/>
    <w:rsid w:val="003E4CE8"/>
    <w:rsid w:val="003E4E13"/>
    <w:rsid w:val="003E5194"/>
    <w:rsid w:val="003E529D"/>
    <w:rsid w:val="003E534D"/>
    <w:rsid w:val="003E538F"/>
    <w:rsid w:val="003E5578"/>
    <w:rsid w:val="003E5725"/>
    <w:rsid w:val="003E5BE1"/>
    <w:rsid w:val="003E5CEC"/>
    <w:rsid w:val="003E5E42"/>
    <w:rsid w:val="003E62A5"/>
    <w:rsid w:val="003E63C3"/>
    <w:rsid w:val="003E655B"/>
    <w:rsid w:val="003E66C3"/>
    <w:rsid w:val="003E66C4"/>
    <w:rsid w:val="003E6C2F"/>
    <w:rsid w:val="003E727A"/>
    <w:rsid w:val="003E72F2"/>
    <w:rsid w:val="003E7A6A"/>
    <w:rsid w:val="003E7D25"/>
    <w:rsid w:val="003F0166"/>
    <w:rsid w:val="003F0605"/>
    <w:rsid w:val="003F0669"/>
    <w:rsid w:val="003F071A"/>
    <w:rsid w:val="003F0BAF"/>
    <w:rsid w:val="003F0C5A"/>
    <w:rsid w:val="003F1CA4"/>
    <w:rsid w:val="003F1DF0"/>
    <w:rsid w:val="003F1DFA"/>
    <w:rsid w:val="003F2154"/>
    <w:rsid w:val="003F2380"/>
    <w:rsid w:val="003F23EE"/>
    <w:rsid w:val="003F247F"/>
    <w:rsid w:val="003F24CA"/>
    <w:rsid w:val="003F2A97"/>
    <w:rsid w:val="003F2B87"/>
    <w:rsid w:val="003F3063"/>
    <w:rsid w:val="003F309F"/>
    <w:rsid w:val="003F3227"/>
    <w:rsid w:val="003F371E"/>
    <w:rsid w:val="003F3BB1"/>
    <w:rsid w:val="003F4301"/>
    <w:rsid w:val="003F493E"/>
    <w:rsid w:val="003F4DE9"/>
    <w:rsid w:val="003F54D4"/>
    <w:rsid w:val="003F55BA"/>
    <w:rsid w:val="003F5802"/>
    <w:rsid w:val="003F5843"/>
    <w:rsid w:val="003F58E6"/>
    <w:rsid w:val="003F592C"/>
    <w:rsid w:val="003F5938"/>
    <w:rsid w:val="003F5F7A"/>
    <w:rsid w:val="003F6244"/>
    <w:rsid w:val="003F6257"/>
    <w:rsid w:val="003F6AC2"/>
    <w:rsid w:val="003F6BD2"/>
    <w:rsid w:val="003F6C9C"/>
    <w:rsid w:val="003F6E60"/>
    <w:rsid w:val="003F6F5A"/>
    <w:rsid w:val="003F704A"/>
    <w:rsid w:val="003F7130"/>
    <w:rsid w:val="003F74CF"/>
    <w:rsid w:val="003F75FA"/>
    <w:rsid w:val="003F7659"/>
    <w:rsid w:val="003F7696"/>
    <w:rsid w:val="003F7B37"/>
    <w:rsid w:val="003F7B58"/>
    <w:rsid w:val="004009BC"/>
    <w:rsid w:val="00400A7F"/>
    <w:rsid w:val="00400BDC"/>
    <w:rsid w:val="00400CFC"/>
    <w:rsid w:val="00400DA3"/>
    <w:rsid w:val="00401279"/>
    <w:rsid w:val="0040127A"/>
    <w:rsid w:val="004012F1"/>
    <w:rsid w:val="004013EE"/>
    <w:rsid w:val="00401401"/>
    <w:rsid w:val="00401500"/>
    <w:rsid w:val="00401BC5"/>
    <w:rsid w:val="00401D3D"/>
    <w:rsid w:val="00401E48"/>
    <w:rsid w:val="00402882"/>
    <w:rsid w:val="004029FC"/>
    <w:rsid w:val="00402A2E"/>
    <w:rsid w:val="00402BD4"/>
    <w:rsid w:val="004030CC"/>
    <w:rsid w:val="00403278"/>
    <w:rsid w:val="004036A0"/>
    <w:rsid w:val="00403745"/>
    <w:rsid w:val="00403949"/>
    <w:rsid w:val="00403C1B"/>
    <w:rsid w:val="00403D35"/>
    <w:rsid w:val="00403DAD"/>
    <w:rsid w:val="00404077"/>
    <w:rsid w:val="00404451"/>
    <w:rsid w:val="0040458A"/>
    <w:rsid w:val="0040471D"/>
    <w:rsid w:val="00404743"/>
    <w:rsid w:val="00404848"/>
    <w:rsid w:val="004048C6"/>
    <w:rsid w:val="00404D20"/>
    <w:rsid w:val="00405066"/>
    <w:rsid w:val="00405559"/>
    <w:rsid w:val="0040588F"/>
    <w:rsid w:val="00405AEB"/>
    <w:rsid w:val="00405B89"/>
    <w:rsid w:val="00405D54"/>
    <w:rsid w:val="00405DCB"/>
    <w:rsid w:val="00406115"/>
    <w:rsid w:val="004061A7"/>
    <w:rsid w:val="0040672C"/>
    <w:rsid w:val="004067E2"/>
    <w:rsid w:val="0040692C"/>
    <w:rsid w:val="00406A17"/>
    <w:rsid w:val="00406B48"/>
    <w:rsid w:val="00406D7F"/>
    <w:rsid w:val="00406DB5"/>
    <w:rsid w:val="00406EA7"/>
    <w:rsid w:val="00406F31"/>
    <w:rsid w:val="00407531"/>
    <w:rsid w:val="00407646"/>
    <w:rsid w:val="00407652"/>
    <w:rsid w:val="0040770D"/>
    <w:rsid w:val="00407A6A"/>
    <w:rsid w:val="00407AAA"/>
    <w:rsid w:val="0041001F"/>
    <w:rsid w:val="004100E3"/>
    <w:rsid w:val="004100EF"/>
    <w:rsid w:val="004106A4"/>
    <w:rsid w:val="00410723"/>
    <w:rsid w:val="00410760"/>
    <w:rsid w:val="0041086A"/>
    <w:rsid w:val="0041149F"/>
    <w:rsid w:val="004114DC"/>
    <w:rsid w:val="004115CF"/>
    <w:rsid w:val="00411736"/>
    <w:rsid w:val="004117DC"/>
    <w:rsid w:val="00411A66"/>
    <w:rsid w:val="00411BA8"/>
    <w:rsid w:val="00411FCB"/>
    <w:rsid w:val="004124EB"/>
    <w:rsid w:val="00412592"/>
    <w:rsid w:val="00412E3C"/>
    <w:rsid w:val="00413096"/>
    <w:rsid w:val="004131B4"/>
    <w:rsid w:val="00413437"/>
    <w:rsid w:val="00413641"/>
    <w:rsid w:val="00413C42"/>
    <w:rsid w:val="00413D08"/>
    <w:rsid w:val="00413FE7"/>
    <w:rsid w:val="004140C7"/>
    <w:rsid w:val="004141DF"/>
    <w:rsid w:val="004143B0"/>
    <w:rsid w:val="00414692"/>
    <w:rsid w:val="00414850"/>
    <w:rsid w:val="004149BB"/>
    <w:rsid w:val="00414FD2"/>
    <w:rsid w:val="0041520E"/>
    <w:rsid w:val="00415213"/>
    <w:rsid w:val="004153D2"/>
    <w:rsid w:val="004153DB"/>
    <w:rsid w:val="0041542D"/>
    <w:rsid w:val="0041587D"/>
    <w:rsid w:val="004158F8"/>
    <w:rsid w:val="00415AEB"/>
    <w:rsid w:val="00415B54"/>
    <w:rsid w:val="00415E0E"/>
    <w:rsid w:val="004160BE"/>
    <w:rsid w:val="0041645A"/>
    <w:rsid w:val="00416AC9"/>
    <w:rsid w:val="00416D17"/>
    <w:rsid w:val="00417538"/>
    <w:rsid w:val="0041794C"/>
    <w:rsid w:val="0041796E"/>
    <w:rsid w:val="00417F5D"/>
    <w:rsid w:val="0042012C"/>
    <w:rsid w:val="00420745"/>
    <w:rsid w:val="00420AF0"/>
    <w:rsid w:val="00420C35"/>
    <w:rsid w:val="00420CA3"/>
    <w:rsid w:val="00420D95"/>
    <w:rsid w:val="00420E83"/>
    <w:rsid w:val="00420FE0"/>
    <w:rsid w:val="0042121B"/>
    <w:rsid w:val="00421583"/>
    <w:rsid w:val="00421655"/>
    <w:rsid w:val="004217AD"/>
    <w:rsid w:val="00421A9C"/>
    <w:rsid w:val="00421CDF"/>
    <w:rsid w:val="00421E66"/>
    <w:rsid w:val="00421FB3"/>
    <w:rsid w:val="00422025"/>
    <w:rsid w:val="00422095"/>
    <w:rsid w:val="00422366"/>
    <w:rsid w:val="004224C8"/>
    <w:rsid w:val="00422579"/>
    <w:rsid w:val="004226AF"/>
    <w:rsid w:val="0042281F"/>
    <w:rsid w:val="00422ABB"/>
    <w:rsid w:val="00422CC8"/>
    <w:rsid w:val="00422F04"/>
    <w:rsid w:val="00422F26"/>
    <w:rsid w:val="0042304E"/>
    <w:rsid w:val="0042317B"/>
    <w:rsid w:val="0042318B"/>
    <w:rsid w:val="004231ED"/>
    <w:rsid w:val="004232EC"/>
    <w:rsid w:val="0042336D"/>
    <w:rsid w:val="00423964"/>
    <w:rsid w:val="00423B9F"/>
    <w:rsid w:val="00423DEB"/>
    <w:rsid w:val="0042441B"/>
    <w:rsid w:val="0042444E"/>
    <w:rsid w:val="0042448C"/>
    <w:rsid w:val="004247A1"/>
    <w:rsid w:val="004249C7"/>
    <w:rsid w:val="00424B3F"/>
    <w:rsid w:val="00424EBF"/>
    <w:rsid w:val="0042502A"/>
    <w:rsid w:val="0042503F"/>
    <w:rsid w:val="00425456"/>
    <w:rsid w:val="0042550F"/>
    <w:rsid w:val="004255B7"/>
    <w:rsid w:val="00425A03"/>
    <w:rsid w:val="00425D15"/>
    <w:rsid w:val="00425E14"/>
    <w:rsid w:val="00425E8A"/>
    <w:rsid w:val="00425F29"/>
    <w:rsid w:val="00425F54"/>
    <w:rsid w:val="00426090"/>
    <w:rsid w:val="004260F5"/>
    <w:rsid w:val="00426618"/>
    <w:rsid w:val="00426F85"/>
    <w:rsid w:val="00427083"/>
    <w:rsid w:val="00427167"/>
    <w:rsid w:val="0042745C"/>
    <w:rsid w:val="004279BA"/>
    <w:rsid w:val="00427E8B"/>
    <w:rsid w:val="00427FE9"/>
    <w:rsid w:val="004301B4"/>
    <w:rsid w:val="004302AE"/>
    <w:rsid w:val="004303E3"/>
    <w:rsid w:val="00430983"/>
    <w:rsid w:val="00430A19"/>
    <w:rsid w:val="004310F1"/>
    <w:rsid w:val="00431147"/>
    <w:rsid w:val="004312AE"/>
    <w:rsid w:val="0043141D"/>
    <w:rsid w:val="004314DE"/>
    <w:rsid w:val="00431553"/>
    <w:rsid w:val="004319A3"/>
    <w:rsid w:val="00431C62"/>
    <w:rsid w:val="00431D47"/>
    <w:rsid w:val="00432155"/>
    <w:rsid w:val="0043233A"/>
    <w:rsid w:val="00432AEF"/>
    <w:rsid w:val="00432E89"/>
    <w:rsid w:val="00432FAA"/>
    <w:rsid w:val="00433185"/>
    <w:rsid w:val="004334EB"/>
    <w:rsid w:val="00433658"/>
    <w:rsid w:val="0043371F"/>
    <w:rsid w:val="004337ED"/>
    <w:rsid w:val="00433C57"/>
    <w:rsid w:val="00433D6F"/>
    <w:rsid w:val="004341F0"/>
    <w:rsid w:val="004342C3"/>
    <w:rsid w:val="0043465A"/>
    <w:rsid w:val="00434A75"/>
    <w:rsid w:val="00434B10"/>
    <w:rsid w:val="00434C46"/>
    <w:rsid w:val="00434EC5"/>
    <w:rsid w:val="0043502B"/>
    <w:rsid w:val="00435100"/>
    <w:rsid w:val="0043521A"/>
    <w:rsid w:val="004359DC"/>
    <w:rsid w:val="00435C3C"/>
    <w:rsid w:val="00435C9B"/>
    <w:rsid w:val="00435CD5"/>
    <w:rsid w:val="00435F64"/>
    <w:rsid w:val="0043615A"/>
    <w:rsid w:val="0043622B"/>
    <w:rsid w:val="00436386"/>
    <w:rsid w:val="004365C0"/>
    <w:rsid w:val="00436BDF"/>
    <w:rsid w:val="00436EB9"/>
    <w:rsid w:val="0043700A"/>
    <w:rsid w:val="00437284"/>
    <w:rsid w:val="0043773E"/>
    <w:rsid w:val="00437919"/>
    <w:rsid w:val="00437C17"/>
    <w:rsid w:val="00437CB7"/>
    <w:rsid w:val="00440524"/>
    <w:rsid w:val="004405D0"/>
    <w:rsid w:val="0044070C"/>
    <w:rsid w:val="00440A07"/>
    <w:rsid w:val="00440E2B"/>
    <w:rsid w:val="00440E97"/>
    <w:rsid w:val="00441074"/>
    <w:rsid w:val="004410C2"/>
    <w:rsid w:val="0044113C"/>
    <w:rsid w:val="004413FD"/>
    <w:rsid w:val="00441511"/>
    <w:rsid w:val="00441954"/>
    <w:rsid w:val="004419B4"/>
    <w:rsid w:val="00441A69"/>
    <w:rsid w:val="00441C8C"/>
    <w:rsid w:val="00442197"/>
    <w:rsid w:val="004421DA"/>
    <w:rsid w:val="004422F4"/>
    <w:rsid w:val="004422F8"/>
    <w:rsid w:val="004423D2"/>
    <w:rsid w:val="0044244A"/>
    <w:rsid w:val="0044265B"/>
    <w:rsid w:val="0044270A"/>
    <w:rsid w:val="00442CDD"/>
    <w:rsid w:val="00442D13"/>
    <w:rsid w:val="00442DCE"/>
    <w:rsid w:val="00442DE8"/>
    <w:rsid w:val="00442F8A"/>
    <w:rsid w:val="004431D8"/>
    <w:rsid w:val="00443738"/>
    <w:rsid w:val="0044373C"/>
    <w:rsid w:val="00443C2F"/>
    <w:rsid w:val="00443D8C"/>
    <w:rsid w:val="00443FC4"/>
    <w:rsid w:val="0044450D"/>
    <w:rsid w:val="00444846"/>
    <w:rsid w:val="004448F7"/>
    <w:rsid w:val="00444A8D"/>
    <w:rsid w:val="00444C0A"/>
    <w:rsid w:val="00444CDD"/>
    <w:rsid w:val="00444EBD"/>
    <w:rsid w:val="00444F0B"/>
    <w:rsid w:val="0044505F"/>
    <w:rsid w:val="00445582"/>
    <w:rsid w:val="004455DF"/>
    <w:rsid w:val="00445645"/>
    <w:rsid w:val="0044585D"/>
    <w:rsid w:val="0044589D"/>
    <w:rsid w:val="0044592A"/>
    <w:rsid w:val="00445ADD"/>
    <w:rsid w:val="00445AF9"/>
    <w:rsid w:val="00445D82"/>
    <w:rsid w:val="00445DBC"/>
    <w:rsid w:val="0044617A"/>
    <w:rsid w:val="0044639D"/>
    <w:rsid w:val="004464DD"/>
    <w:rsid w:val="00446A5B"/>
    <w:rsid w:val="004470C6"/>
    <w:rsid w:val="0044727B"/>
    <w:rsid w:val="004472E5"/>
    <w:rsid w:val="004473F1"/>
    <w:rsid w:val="00447754"/>
    <w:rsid w:val="00447791"/>
    <w:rsid w:val="00447A14"/>
    <w:rsid w:val="00447AB1"/>
    <w:rsid w:val="004505C3"/>
    <w:rsid w:val="00450707"/>
    <w:rsid w:val="004508BA"/>
    <w:rsid w:val="00450C3F"/>
    <w:rsid w:val="00450DED"/>
    <w:rsid w:val="00450E15"/>
    <w:rsid w:val="0045114A"/>
    <w:rsid w:val="0045140C"/>
    <w:rsid w:val="00451575"/>
    <w:rsid w:val="00451582"/>
    <w:rsid w:val="00451777"/>
    <w:rsid w:val="0045184A"/>
    <w:rsid w:val="00451AE5"/>
    <w:rsid w:val="00451C63"/>
    <w:rsid w:val="00451F1D"/>
    <w:rsid w:val="00451FE1"/>
    <w:rsid w:val="00452102"/>
    <w:rsid w:val="004521A5"/>
    <w:rsid w:val="00452433"/>
    <w:rsid w:val="004526B2"/>
    <w:rsid w:val="00452719"/>
    <w:rsid w:val="00452890"/>
    <w:rsid w:val="00452976"/>
    <w:rsid w:val="00452DBC"/>
    <w:rsid w:val="0045306B"/>
    <w:rsid w:val="00453545"/>
    <w:rsid w:val="00453AA3"/>
    <w:rsid w:val="00453B3B"/>
    <w:rsid w:val="00453CA5"/>
    <w:rsid w:val="00453DD5"/>
    <w:rsid w:val="00453FE8"/>
    <w:rsid w:val="00454080"/>
    <w:rsid w:val="00454171"/>
    <w:rsid w:val="0045426B"/>
    <w:rsid w:val="0045448D"/>
    <w:rsid w:val="004544FF"/>
    <w:rsid w:val="00454541"/>
    <w:rsid w:val="00454696"/>
    <w:rsid w:val="00454734"/>
    <w:rsid w:val="0045493A"/>
    <w:rsid w:val="00454D71"/>
    <w:rsid w:val="00454E7E"/>
    <w:rsid w:val="00454E92"/>
    <w:rsid w:val="00455058"/>
    <w:rsid w:val="004552FD"/>
    <w:rsid w:val="004553A0"/>
    <w:rsid w:val="004553E1"/>
    <w:rsid w:val="0045567D"/>
    <w:rsid w:val="00455A58"/>
    <w:rsid w:val="00455BBA"/>
    <w:rsid w:val="00455C04"/>
    <w:rsid w:val="00456148"/>
    <w:rsid w:val="004561C0"/>
    <w:rsid w:val="0045626F"/>
    <w:rsid w:val="00456875"/>
    <w:rsid w:val="00456ADB"/>
    <w:rsid w:val="00456B75"/>
    <w:rsid w:val="00456F1A"/>
    <w:rsid w:val="00456FBB"/>
    <w:rsid w:val="00457012"/>
    <w:rsid w:val="00457554"/>
    <w:rsid w:val="004576B3"/>
    <w:rsid w:val="004577B0"/>
    <w:rsid w:val="00457AB5"/>
    <w:rsid w:val="00457AE8"/>
    <w:rsid w:val="00457C0D"/>
    <w:rsid w:val="00457F18"/>
    <w:rsid w:val="00457FF6"/>
    <w:rsid w:val="004603DC"/>
    <w:rsid w:val="00460663"/>
    <w:rsid w:val="004606DD"/>
    <w:rsid w:val="004608CA"/>
    <w:rsid w:val="00460957"/>
    <w:rsid w:val="00460AFA"/>
    <w:rsid w:val="00460CBF"/>
    <w:rsid w:val="0046113D"/>
    <w:rsid w:val="004614A7"/>
    <w:rsid w:val="00461827"/>
    <w:rsid w:val="00461A74"/>
    <w:rsid w:val="00461D5A"/>
    <w:rsid w:val="00461F01"/>
    <w:rsid w:val="004622B3"/>
    <w:rsid w:val="00462561"/>
    <w:rsid w:val="00462A74"/>
    <w:rsid w:val="00462B24"/>
    <w:rsid w:val="00462FCE"/>
    <w:rsid w:val="00462FF7"/>
    <w:rsid w:val="00463067"/>
    <w:rsid w:val="0046307C"/>
    <w:rsid w:val="00463492"/>
    <w:rsid w:val="0046349E"/>
    <w:rsid w:val="00463A09"/>
    <w:rsid w:val="00463C08"/>
    <w:rsid w:val="00463DAD"/>
    <w:rsid w:val="00463FF4"/>
    <w:rsid w:val="0046406D"/>
    <w:rsid w:val="00464217"/>
    <w:rsid w:val="004647E5"/>
    <w:rsid w:val="00464AB6"/>
    <w:rsid w:val="00464D63"/>
    <w:rsid w:val="00464FE4"/>
    <w:rsid w:val="004653F4"/>
    <w:rsid w:val="00465437"/>
    <w:rsid w:val="00465646"/>
    <w:rsid w:val="00465726"/>
    <w:rsid w:val="00465A1B"/>
    <w:rsid w:val="00465AF0"/>
    <w:rsid w:val="00465CD3"/>
    <w:rsid w:val="00465DC4"/>
    <w:rsid w:val="00465E69"/>
    <w:rsid w:val="00465E8B"/>
    <w:rsid w:val="00466200"/>
    <w:rsid w:val="004662DB"/>
    <w:rsid w:val="0046659B"/>
    <w:rsid w:val="004666A7"/>
    <w:rsid w:val="0046670C"/>
    <w:rsid w:val="00466904"/>
    <w:rsid w:val="00466C2F"/>
    <w:rsid w:val="00466EEB"/>
    <w:rsid w:val="004671B0"/>
    <w:rsid w:val="00467400"/>
    <w:rsid w:val="00467730"/>
    <w:rsid w:val="00467808"/>
    <w:rsid w:val="00467A72"/>
    <w:rsid w:val="00467EFE"/>
    <w:rsid w:val="00467FE8"/>
    <w:rsid w:val="00470246"/>
    <w:rsid w:val="0047039B"/>
    <w:rsid w:val="0047041C"/>
    <w:rsid w:val="0047084F"/>
    <w:rsid w:val="0047097E"/>
    <w:rsid w:val="004712CD"/>
    <w:rsid w:val="00471389"/>
    <w:rsid w:val="00471419"/>
    <w:rsid w:val="0047150C"/>
    <w:rsid w:val="004715A5"/>
    <w:rsid w:val="004717F4"/>
    <w:rsid w:val="00471962"/>
    <w:rsid w:val="00471BD6"/>
    <w:rsid w:val="004720CD"/>
    <w:rsid w:val="00472186"/>
    <w:rsid w:val="00472221"/>
    <w:rsid w:val="00472510"/>
    <w:rsid w:val="00472565"/>
    <w:rsid w:val="00472A03"/>
    <w:rsid w:val="00472B70"/>
    <w:rsid w:val="00472D3A"/>
    <w:rsid w:val="00473237"/>
    <w:rsid w:val="004733CB"/>
    <w:rsid w:val="0047358B"/>
    <w:rsid w:val="00473616"/>
    <w:rsid w:val="00473670"/>
    <w:rsid w:val="00473672"/>
    <w:rsid w:val="004738DF"/>
    <w:rsid w:val="004739FD"/>
    <w:rsid w:val="00473ABE"/>
    <w:rsid w:val="00473C24"/>
    <w:rsid w:val="00473FB1"/>
    <w:rsid w:val="00473FD4"/>
    <w:rsid w:val="004740FF"/>
    <w:rsid w:val="004744C1"/>
    <w:rsid w:val="004747D2"/>
    <w:rsid w:val="004748A9"/>
    <w:rsid w:val="004748BB"/>
    <w:rsid w:val="004748E5"/>
    <w:rsid w:val="00474A4B"/>
    <w:rsid w:val="00474CAA"/>
    <w:rsid w:val="004753CA"/>
    <w:rsid w:val="004757BE"/>
    <w:rsid w:val="0047586B"/>
    <w:rsid w:val="00475C65"/>
    <w:rsid w:val="00476265"/>
    <w:rsid w:val="00476B95"/>
    <w:rsid w:val="004772EE"/>
    <w:rsid w:val="0047772F"/>
    <w:rsid w:val="004779F3"/>
    <w:rsid w:val="00477B11"/>
    <w:rsid w:val="00477B5D"/>
    <w:rsid w:val="00477C83"/>
    <w:rsid w:val="00477E89"/>
    <w:rsid w:val="004802BB"/>
    <w:rsid w:val="0048055D"/>
    <w:rsid w:val="004808D8"/>
    <w:rsid w:val="00480C53"/>
    <w:rsid w:val="00480EDA"/>
    <w:rsid w:val="00480F12"/>
    <w:rsid w:val="004812D3"/>
    <w:rsid w:val="0048141F"/>
    <w:rsid w:val="0048164C"/>
    <w:rsid w:val="0048193D"/>
    <w:rsid w:val="00481EB2"/>
    <w:rsid w:val="00481FE5"/>
    <w:rsid w:val="00482010"/>
    <w:rsid w:val="004820E4"/>
    <w:rsid w:val="0048265C"/>
    <w:rsid w:val="00482C53"/>
    <w:rsid w:val="00482D50"/>
    <w:rsid w:val="00482D94"/>
    <w:rsid w:val="00482F4E"/>
    <w:rsid w:val="00483180"/>
    <w:rsid w:val="004832C9"/>
    <w:rsid w:val="0048375E"/>
    <w:rsid w:val="00483A05"/>
    <w:rsid w:val="00483DBC"/>
    <w:rsid w:val="00484104"/>
    <w:rsid w:val="00484393"/>
    <w:rsid w:val="00484487"/>
    <w:rsid w:val="004844B5"/>
    <w:rsid w:val="00484512"/>
    <w:rsid w:val="00484778"/>
    <w:rsid w:val="00484850"/>
    <w:rsid w:val="00484916"/>
    <w:rsid w:val="004851B0"/>
    <w:rsid w:val="00485550"/>
    <w:rsid w:val="0048565D"/>
    <w:rsid w:val="00485804"/>
    <w:rsid w:val="0048581C"/>
    <w:rsid w:val="004859A4"/>
    <w:rsid w:val="00485BE2"/>
    <w:rsid w:val="00485E03"/>
    <w:rsid w:val="00486417"/>
    <w:rsid w:val="004869A1"/>
    <w:rsid w:val="00486CC7"/>
    <w:rsid w:val="00486CF1"/>
    <w:rsid w:val="00486D2B"/>
    <w:rsid w:val="0048702F"/>
    <w:rsid w:val="004872DE"/>
    <w:rsid w:val="00487864"/>
    <w:rsid w:val="00487D86"/>
    <w:rsid w:val="00487DC4"/>
    <w:rsid w:val="00487E4A"/>
    <w:rsid w:val="0049011E"/>
    <w:rsid w:val="00490352"/>
    <w:rsid w:val="00490916"/>
    <w:rsid w:val="00490A1F"/>
    <w:rsid w:val="00490C5F"/>
    <w:rsid w:val="00490F48"/>
    <w:rsid w:val="0049117A"/>
    <w:rsid w:val="00491588"/>
    <w:rsid w:val="00491836"/>
    <w:rsid w:val="00491F3A"/>
    <w:rsid w:val="004920F1"/>
    <w:rsid w:val="00492182"/>
    <w:rsid w:val="00492334"/>
    <w:rsid w:val="0049243C"/>
    <w:rsid w:val="004926EA"/>
    <w:rsid w:val="00492786"/>
    <w:rsid w:val="00492803"/>
    <w:rsid w:val="004929C9"/>
    <w:rsid w:val="00492AA8"/>
    <w:rsid w:val="00492BD2"/>
    <w:rsid w:val="00492E45"/>
    <w:rsid w:val="004930FF"/>
    <w:rsid w:val="0049325D"/>
    <w:rsid w:val="004936E5"/>
    <w:rsid w:val="004939BE"/>
    <w:rsid w:val="00493C89"/>
    <w:rsid w:val="00493DE7"/>
    <w:rsid w:val="00493E2C"/>
    <w:rsid w:val="00493FEA"/>
    <w:rsid w:val="004942F8"/>
    <w:rsid w:val="004943B4"/>
    <w:rsid w:val="00494444"/>
    <w:rsid w:val="004945B9"/>
    <w:rsid w:val="0049473D"/>
    <w:rsid w:val="00494971"/>
    <w:rsid w:val="00494C31"/>
    <w:rsid w:val="00494E3A"/>
    <w:rsid w:val="0049509D"/>
    <w:rsid w:val="00495227"/>
    <w:rsid w:val="004952D5"/>
    <w:rsid w:val="004953AE"/>
    <w:rsid w:val="00495609"/>
    <w:rsid w:val="00495B62"/>
    <w:rsid w:val="00495B9C"/>
    <w:rsid w:val="00495CCE"/>
    <w:rsid w:val="00495F28"/>
    <w:rsid w:val="0049631D"/>
    <w:rsid w:val="00496610"/>
    <w:rsid w:val="00496886"/>
    <w:rsid w:val="00496967"/>
    <w:rsid w:val="00496A7A"/>
    <w:rsid w:val="00496B63"/>
    <w:rsid w:val="00496D63"/>
    <w:rsid w:val="00496E0A"/>
    <w:rsid w:val="004970AC"/>
    <w:rsid w:val="004971DC"/>
    <w:rsid w:val="00497247"/>
    <w:rsid w:val="00497279"/>
    <w:rsid w:val="004973B5"/>
    <w:rsid w:val="00497CB2"/>
    <w:rsid w:val="00497D59"/>
    <w:rsid w:val="00497FB8"/>
    <w:rsid w:val="004A0249"/>
    <w:rsid w:val="004A0460"/>
    <w:rsid w:val="004A065A"/>
    <w:rsid w:val="004A07A4"/>
    <w:rsid w:val="004A080B"/>
    <w:rsid w:val="004A0BC3"/>
    <w:rsid w:val="004A0E7B"/>
    <w:rsid w:val="004A0F8B"/>
    <w:rsid w:val="004A11B4"/>
    <w:rsid w:val="004A12E9"/>
    <w:rsid w:val="004A1485"/>
    <w:rsid w:val="004A1808"/>
    <w:rsid w:val="004A1E15"/>
    <w:rsid w:val="004A1EB2"/>
    <w:rsid w:val="004A1F82"/>
    <w:rsid w:val="004A203C"/>
    <w:rsid w:val="004A219D"/>
    <w:rsid w:val="004A21E0"/>
    <w:rsid w:val="004A2365"/>
    <w:rsid w:val="004A28DC"/>
    <w:rsid w:val="004A2AD1"/>
    <w:rsid w:val="004A2E1B"/>
    <w:rsid w:val="004A33D6"/>
    <w:rsid w:val="004A36BB"/>
    <w:rsid w:val="004A36C1"/>
    <w:rsid w:val="004A3874"/>
    <w:rsid w:val="004A3C49"/>
    <w:rsid w:val="004A3C55"/>
    <w:rsid w:val="004A40EF"/>
    <w:rsid w:val="004A411A"/>
    <w:rsid w:val="004A4309"/>
    <w:rsid w:val="004A4444"/>
    <w:rsid w:val="004A453E"/>
    <w:rsid w:val="004A4562"/>
    <w:rsid w:val="004A461C"/>
    <w:rsid w:val="004A47D2"/>
    <w:rsid w:val="004A4C40"/>
    <w:rsid w:val="004A4D2A"/>
    <w:rsid w:val="004A4D7C"/>
    <w:rsid w:val="004A5357"/>
    <w:rsid w:val="004A5643"/>
    <w:rsid w:val="004A5667"/>
    <w:rsid w:val="004A59B1"/>
    <w:rsid w:val="004A5A46"/>
    <w:rsid w:val="004A61F5"/>
    <w:rsid w:val="004A62BA"/>
    <w:rsid w:val="004A66E0"/>
    <w:rsid w:val="004A6926"/>
    <w:rsid w:val="004A73C0"/>
    <w:rsid w:val="004A73CB"/>
    <w:rsid w:val="004A73EF"/>
    <w:rsid w:val="004A75C3"/>
    <w:rsid w:val="004A7A46"/>
    <w:rsid w:val="004A7B20"/>
    <w:rsid w:val="004A7EEB"/>
    <w:rsid w:val="004B0329"/>
    <w:rsid w:val="004B047F"/>
    <w:rsid w:val="004B0772"/>
    <w:rsid w:val="004B09E5"/>
    <w:rsid w:val="004B0B02"/>
    <w:rsid w:val="004B0BCF"/>
    <w:rsid w:val="004B0C38"/>
    <w:rsid w:val="004B0C6A"/>
    <w:rsid w:val="004B0CD3"/>
    <w:rsid w:val="004B0DE2"/>
    <w:rsid w:val="004B0EF8"/>
    <w:rsid w:val="004B0F19"/>
    <w:rsid w:val="004B13C2"/>
    <w:rsid w:val="004B17FC"/>
    <w:rsid w:val="004B1941"/>
    <w:rsid w:val="004B1A9B"/>
    <w:rsid w:val="004B1DCD"/>
    <w:rsid w:val="004B1ED7"/>
    <w:rsid w:val="004B21D2"/>
    <w:rsid w:val="004B2267"/>
    <w:rsid w:val="004B2359"/>
    <w:rsid w:val="004B2568"/>
    <w:rsid w:val="004B286C"/>
    <w:rsid w:val="004B2D1E"/>
    <w:rsid w:val="004B2D64"/>
    <w:rsid w:val="004B2F67"/>
    <w:rsid w:val="004B301A"/>
    <w:rsid w:val="004B3223"/>
    <w:rsid w:val="004B332F"/>
    <w:rsid w:val="004B33EF"/>
    <w:rsid w:val="004B3544"/>
    <w:rsid w:val="004B39CF"/>
    <w:rsid w:val="004B3A4B"/>
    <w:rsid w:val="004B3AB9"/>
    <w:rsid w:val="004B3C00"/>
    <w:rsid w:val="004B40CA"/>
    <w:rsid w:val="004B425A"/>
    <w:rsid w:val="004B46A5"/>
    <w:rsid w:val="004B4BFE"/>
    <w:rsid w:val="004B4CAD"/>
    <w:rsid w:val="004B5152"/>
    <w:rsid w:val="004B5481"/>
    <w:rsid w:val="004B5646"/>
    <w:rsid w:val="004B570A"/>
    <w:rsid w:val="004B58DE"/>
    <w:rsid w:val="004B595C"/>
    <w:rsid w:val="004B5C72"/>
    <w:rsid w:val="004B5CC8"/>
    <w:rsid w:val="004B60BD"/>
    <w:rsid w:val="004B6B2D"/>
    <w:rsid w:val="004B6E80"/>
    <w:rsid w:val="004B6FFB"/>
    <w:rsid w:val="004B72E6"/>
    <w:rsid w:val="004B7349"/>
    <w:rsid w:val="004B76AD"/>
    <w:rsid w:val="004B76EF"/>
    <w:rsid w:val="004B7855"/>
    <w:rsid w:val="004B78E8"/>
    <w:rsid w:val="004B7D7F"/>
    <w:rsid w:val="004B7DEA"/>
    <w:rsid w:val="004C012A"/>
    <w:rsid w:val="004C091C"/>
    <w:rsid w:val="004C0A19"/>
    <w:rsid w:val="004C0EFD"/>
    <w:rsid w:val="004C102A"/>
    <w:rsid w:val="004C1371"/>
    <w:rsid w:val="004C1414"/>
    <w:rsid w:val="004C15EE"/>
    <w:rsid w:val="004C1622"/>
    <w:rsid w:val="004C1BE0"/>
    <w:rsid w:val="004C1E95"/>
    <w:rsid w:val="004C1FC8"/>
    <w:rsid w:val="004C2273"/>
    <w:rsid w:val="004C29D9"/>
    <w:rsid w:val="004C2B0D"/>
    <w:rsid w:val="004C30F2"/>
    <w:rsid w:val="004C311E"/>
    <w:rsid w:val="004C339E"/>
    <w:rsid w:val="004C3C2B"/>
    <w:rsid w:val="004C3F2E"/>
    <w:rsid w:val="004C40B1"/>
    <w:rsid w:val="004C449F"/>
    <w:rsid w:val="004C45CC"/>
    <w:rsid w:val="004C49EC"/>
    <w:rsid w:val="004C4A89"/>
    <w:rsid w:val="004C4E1E"/>
    <w:rsid w:val="004C4FAE"/>
    <w:rsid w:val="004C5050"/>
    <w:rsid w:val="004C50FE"/>
    <w:rsid w:val="004C57DF"/>
    <w:rsid w:val="004C5EEF"/>
    <w:rsid w:val="004C602F"/>
    <w:rsid w:val="004C610E"/>
    <w:rsid w:val="004C620A"/>
    <w:rsid w:val="004C62DC"/>
    <w:rsid w:val="004C6311"/>
    <w:rsid w:val="004C63C6"/>
    <w:rsid w:val="004C6881"/>
    <w:rsid w:val="004C6AD5"/>
    <w:rsid w:val="004C6ECD"/>
    <w:rsid w:val="004C72E9"/>
    <w:rsid w:val="004C77C6"/>
    <w:rsid w:val="004C7962"/>
    <w:rsid w:val="004C7B06"/>
    <w:rsid w:val="004C7D24"/>
    <w:rsid w:val="004C7DE5"/>
    <w:rsid w:val="004C7FD8"/>
    <w:rsid w:val="004D0005"/>
    <w:rsid w:val="004D0006"/>
    <w:rsid w:val="004D0381"/>
    <w:rsid w:val="004D07C7"/>
    <w:rsid w:val="004D0890"/>
    <w:rsid w:val="004D08AA"/>
    <w:rsid w:val="004D09D0"/>
    <w:rsid w:val="004D0A49"/>
    <w:rsid w:val="004D0C95"/>
    <w:rsid w:val="004D0CE1"/>
    <w:rsid w:val="004D0DEA"/>
    <w:rsid w:val="004D11EB"/>
    <w:rsid w:val="004D134C"/>
    <w:rsid w:val="004D14C2"/>
    <w:rsid w:val="004D175E"/>
    <w:rsid w:val="004D1DB1"/>
    <w:rsid w:val="004D1F2A"/>
    <w:rsid w:val="004D1F82"/>
    <w:rsid w:val="004D22E2"/>
    <w:rsid w:val="004D23E0"/>
    <w:rsid w:val="004D26F6"/>
    <w:rsid w:val="004D27C6"/>
    <w:rsid w:val="004D281F"/>
    <w:rsid w:val="004D287A"/>
    <w:rsid w:val="004D2DB6"/>
    <w:rsid w:val="004D3B1C"/>
    <w:rsid w:val="004D3D56"/>
    <w:rsid w:val="004D3E0F"/>
    <w:rsid w:val="004D40D9"/>
    <w:rsid w:val="004D42B6"/>
    <w:rsid w:val="004D48FB"/>
    <w:rsid w:val="004D4985"/>
    <w:rsid w:val="004D49F5"/>
    <w:rsid w:val="004D4A4A"/>
    <w:rsid w:val="004D4DA0"/>
    <w:rsid w:val="004D5012"/>
    <w:rsid w:val="004D501D"/>
    <w:rsid w:val="004D545C"/>
    <w:rsid w:val="004D548D"/>
    <w:rsid w:val="004D5555"/>
    <w:rsid w:val="004D5733"/>
    <w:rsid w:val="004D5BB0"/>
    <w:rsid w:val="004D5C28"/>
    <w:rsid w:val="004D5D9A"/>
    <w:rsid w:val="004D5DB4"/>
    <w:rsid w:val="004D5FCE"/>
    <w:rsid w:val="004D6084"/>
    <w:rsid w:val="004D6155"/>
    <w:rsid w:val="004D63F0"/>
    <w:rsid w:val="004D66D7"/>
    <w:rsid w:val="004D6A32"/>
    <w:rsid w:val="004D6C0D"/>
    <w:rsid w:val="004D7C64"/>
    <w:rsid w:val="004D7E2B"/>
    <w:rsid w:val="004E0096"/>
    <w:rsid w:val="004E03AC"/>
    <w:rsid w:val="004E0439"/>
    <w:rsid w:val="004E055C"/>
    <w:rsid w:val="004E0F79"/>
    <w:rsid w:val="004E1157"/>
    <w:rsid w:val="004E1356"/>
    <w:rsid w:val="004E192A"/>
    <w:rsid w:val="004E1947"/>
    <w:rsid w:val="004E1B47"/>
    <w:rsid w:val="004E1C30"/>
    <w:rsid w:val="004E1F31"/>
    <w:rsid w:val="004E24DC"/>
    <w:rsid w:val="004E2606"/>
    <w:rsid w:val="004E2A0C"/>
    <w:rsid w:val="004E2BA8"/>
    <w:rsid w:val="004E2C2B"/>
    <w:rsid w:val="004E31FF"/>
    <w:rsid w:val="004E32C9"/>
    <w:rsid w:val="004E36FB"/>
    <w:rsid w:val="004E3783"/>
    <w:rsid w:val="004E37B0"/>
    <w:rsid w:val="004E3852"/>
    <w:rsid w:val="004E3883"/>
    <w:rsid w:val="004E39FC"/>
    <w:rsid w:val="004E3B1A"/>
    <w:rsid w:val="004E3E59"/>
    <w:rsid w:val="004E40A0"/>
    <w:rsid w:val="004E42A3"/>
    <w:rsid w:val="004E44EF"/>
    <w:rsid w:val="004E475C"/>
    <w:rsid w:val="004E476E"/>
    <w:rsid w:val="004E48DB"/>
    <w:rsid w:val="004E4913"/>
    <w:rsid w:val="004E4C0B"/>
    <w:rsid w:val="004E5014"/>
    <w:rsid w:val="004E5088"/>
    <w:rsid w:val="004E533E"/>
    <w:rsid w:val="004E533F"/>
    <w:rsid w:val="004E55D2"/>
    <w:rsid w:val="004E5827"/>
    <w:rsid w:val="004E5981"/>
    <w:rsid w:val="004E5B91"/>
    <w:rsid w:val="004E5BC0"/>
    <w:rsid w:val="004E5F78"/>
    <w:rsid w:val="004E61E1"/>
    <w:rsid w:val="004E61F9"/>
    <w:rsid w:val="004E62AC"/>
    <w:rsid w:val="004E6593"/>
    <w:rsid w:val="004E6926"/>
    <w:rsid w:val="004E6938"/>
    <w:rsid w:val="004E6B7F"/>
    <w:rsid w:val="004E6C34"/>
    <w:rsid w:val="004E6C72"/>
    <w:rsid w:val="004E7293"/>
    <w:rsid w:val="004F00E0"/>
    <w:rsid w:val="004F04C6"/>
    <w:rsid w:val="004F0640"/>
    <w:rsid w:val="004F083C"/>
    <w:rsid w:val="004F0CAF"/>
    <w:rsid w:val="004F0D7B"/>
    <w:rsid w:val="004F153D"/>
    <w:rsid w:val="004F163C"/>
    <w:rsid w:val="004F1675"/>
    <w:rsid w:val="004F169B"/>
    <w:rsid w:val="004F1C9E"/>
    <w:rsid w:val="004F1DA5"/>
    <w:rsid w:val="004F2287"/>
    <w:rsid w:val="004F23D7"/>
    <w:rsid w:val="004F24D8"/>
    <w:rsid w:val="004F2628"/>
    <w:rsid w:val="004F29F8"/>
    <w:rsid w:val="004F2BD9"/>
    <w:rsid w:val="004F2C92"/>
    <w:rsid w:val="004F3017"/>
    <w:rsid w:val="004F3131"/>
    <w:rsid w:val="004F319C"/>
    <w:rsid w:val="004F31EF"/>
    <w:rsid w:val="004F355F"/>
    <w:rsid w:val="004F3732"/>
    <w:rsid w:val="004F37E7"/>
    <w:rsid w:val="004F3B9A"/>
    <w:rsid w:val="004F3DAA"/>
    <w:rsid w:val="004F408F"/>
    <w:rsid w:val="004F4541"/>
    <w:rsid w:val="004F478B"/>
    <w:rsid w:val="004F4870"/>
    <w:rsid w:val="004F4A5B"/>
    <w:rsid w:val="004F4AC8"/>
    <w:rsid w:val="004F4B4D"/>
    <w:rsid w:val="004F4DAB"/>
    <w:rsid w:val="004F4DBC"/>
    <w:rsid w:val="004F531C"/>
    <w:rsid w:val="004F5B01"/>
    <w:rsid w:val="004F5D14"/>
    <w:rsid w:val="004F635A"/>
    <w:rsid w:val="004F6617"/>
    <w:rsid w:val="004F698D"/>
    <w:rsid w:val="004F6CEA"/>
    <w:rsid w:val="004F7096"/>
    <w:rsid w:val="004F7427"/>
    <w:rsid w:val="004F760D"/>
    <w:rsid w:val="004F790D"/>
    <w:rsid w:val="004F7A3C"/>
    <w:rsid w:val="004F7A92"/>
    <w:rsid w:val="004F7C2F"/>
    <w:rsid w:val="0050090A"/>
    <w:rsid w:val="00500BBD"/>
    <w:rsid w:val="00500C15"/>
    <w:rsid w:val="00500C3C"/>
    <w:rsid w:val="00500CD4"/>
    <w:rsid w:val="00500D2D"/>
    <w:rsid w:val="00500E42"/>
    <w:rsid w:val="0050147F"/>
    <w:rsid w:val="005017D9"/>
    <w:rsid w:val="00501AD3"/>
    <w:rsid w:val="00501B03"/>
    <w:rsid w:val="00501DD3"/>
    <w:rsid w:val="00501FBC"/>
    <w:rsid w:val="00502030"/>
    <w:rsid w:val="00502135"/>
    <w:rsid w:val="005021EB"/>
    <w:rsid w:val="00502487"/>
    <w:rsid w:val="0050269D"/>
    <w:rsid w:val="0050277E"/>
    <w:rsid w:val="005028FF"/>
    <w:rsid w:val="00502B2D"/>
    <w:rsid w:val="00502BFC"/>
    <w:rsid w:val="00502C4E"/>
    <w:rsid w:val="00502E1A"/>
    <w:rsid w:val="0050307A"/>
    <w:rsid w:val="005032BC"/>
    <w:rsid w:val="005032C4"/>
    <w:rsid w:val="00503333"/>
    <w:rsid w:val="0050371F"/>
    <w:rsid w:val="005037DC"/>
    <w:rsid w:val="005038BE"/>
    <w:rsid w:val="00503D55"/>
    <w:rsid w:val="00503E6F"/>
    <w:rsid w:val="00503F6B"/>
    <w:rsid w:val="00504320"/>
    <w:rsid w:val="005043BD"/>
    <w:rsid w:val="005044BE"/>
    <w:rsid w:val="00504C95"/>
    <w:rsid w:val="00504E75"/>
    <w:rsid w:val="00504EE5"/>
    <w:rsid w:val="005050B5"/>
    <w:rsid w:val="0050519C"/>
    <w:rsid w:val="00505305"/>
    <w:rsid w:val="0050563C"/>
    <w:rsid w:val="00505B18"/>
    <w:rsid w:val="00505E8B"/>
    <w:rsid w:val="00505EB9"/>
    <w:rsid w:val="00505F94"/>
    <w:rsid w:val="0050631F"/>
    <w:rsid w:val="00506729"/>
    <w:rsid w:val="00506B36"/>
    <w:rsid w:val="00506B69"/>
    <w:rsid w:val="00506C14"/>
    <w:rsid w:val="00506C47"/>
    <w:rsid w:val="00506D92"/>
    <w:rsid w:val="00506E51"/>
    <w:rsid w:val="00506F93"/>
    <w:rsid w:val="00507076"/>
    <w:rsid w:val="005074C5"/>
    <w:rsid w:val="005077DC"/>
    <w:rsid w:val="00507A6E"/>
    <w:rsid w:val="00507AAE"/>
    <w:rsid w:val="00507ACB"/>
    <w:rsid w:val="00507B76"/>
    <w:rsid w:val="00507CFD"/>
    <w:rsid w:val="00507F2E"/>
    <w:rsid w:val="00507FB3"/>
    <w:rsid w:val="0051028D"/>
    <w:rsid w:val="0051056F"/>
    <w:rsid w:val="00510613"/>
    <w:rsid w:val="005107BD"/>
    <w:rsid w:val="00510958"/>
    <w:rsid w:val="00510C08"/>
    <w:rsid w:val="00510C67"/>
    <w:rsid w:val="00510CEE"/>
    <w:rsid w:val="00511161"/>
    <w:rsid w:val="0051147D"/>
    <w:rsid w:val="005118D6"/>
    <w:rsid w:val="00511A04"/>
    <w:rsid w:val="00511ADF"/>
    <w:rsid w:val="00511D19"/>
    <w:rsid w:val="005120FB"/>
    <w:rsid w:val="0051228B"/>
    <w:rsid w:val="00512485"/>
    <w:rsid w:val="005129B5"/>
    <w:rsid w:val="00513108"/>
    <w:rsid w:val="00513280"/>
    <w:rsid w:val="0051347A"/>
    <w:rsid w:val="005135EB"/>
    <w:rsid w:val="00513781"/>
    <w:rsid w:val="00513933"/>
    <w:rsid w:val="005139B5"/>
    <w:rsid w:val="005139C3"/>
    <w:rsid w:val="00513B1B"/>
    <w:rsid w:val="00513C96"/>
    <w:rsid w:val="0051404D"/>
    <w:rsid w:val="005140DF"/>
    <w:rsid w:val="00514176"/>
    <w:rsid w:val="005143D8"/>
    <w:rsid w:val="0051472A"/>
    <w:rsid w:val="00514777"/>
    <w:rsid w:val="0051493A"/>
    <w:rsid w:val="00514B50"/>
    <w:rsid w:val="00514C1F"/>
    <w:rsid w:val="00515537"/>
    <w:rsid w:val="00515761"/>
    <w:rsid w:val="00515861"/>
    <w:rsid w:val="0051592C"/>
    <w:rsid w:val="00515ACB"/>
    <w:rsid w:val="00515C22"/>
    <w:rsid w:val="00515E94"/>
    <w:rsid w:val="005160AC"/>
    <w:rsid w:val="005160D7"/>
    <w:rsid w:val="00516244"/>
    <w:rsid w:val="005162B7"/>
    <w:rsid w:val="005169E7"/>
    <w:rsid w:val="00516B41"/>
    <w:rsid w:val="00516E30"/>
    <w:rsid w:val="0051736B"/>
    <w:rsid w:val="00517458"/>
    <w:rsid w:val="00517522"/>
    <w:rsid w:val="005175BE"/>
    <w:rsid w:val="00517627"/>
    <w:rsid w:val="00517828"/>
    <w:rsid w:val="00517B7E"/>
    <w:rsid w:val="005200BA"/>
    <w:rsid w:val="00520394"/>
    <w:rsid w:val="0052052E"/>
    <w:rsid w:val="0052073E"/>
    <w:rsid w:val="0052076A"/>
    <w:rsid w:val="00520893"/>
    <w:rsid w:val="005208EC"/>
    <w:rsid w:val="00520B6D"/>
    <w:rsid w:val="00520E62"/>
    <w:rsid w:val="0052114F"/>
    <w:rsid w:val="00521632"/>
    <w:rsid w:val="00521670"/>
    <w:rsid w:val="00521823"/>
    <w:rsid w:val="005218A7"/>
    <w:rsid w:val="00521D54"/>
    <w:rsid w:val="00521E79"/>
    <w:rsid w:val="00521FCD"/>
    <w:rsid w:val="0052217E"/>
    <w:rsid w:val="00522254"/>
    <w:rsid w:val="005223F7"/>
    <w:rsid w:val="005224BB"/>
    <w:rsid w:val="005224FB"/>
    <w:rsid w:val="005226D5"/>
    <w:rsid w:val="00522987"/>
    <w:rsid w:val="00522B47"/>
    <w:rsid w:val="00522BF5"/>
    <w:rsid w:val="00522E5A"/>
    <w:rsid w:val="00522E94"/>
    <w:rsid w:val="00522FDC"/>
    <w:rsid w:val="00523094"/>
    <w:rsid w:val="005231D1"/>
    <w:rsid w:val="005232E0"/>
    <w:rsid w:val="0052343A"/>
    <w:rsid w:val="005237AE"/>
    <w:rsid w:val="00523B06"/>
    <w:rsid w:val="00523B5A"/>
    <w:rsid w:val="00523CC9"/>
    <w:rsid w:val="00523DF1"/>
    <w:rsid w:val="00523F15"/>
    <w:rsid w:val="005240A3"/>
    <w:rsid w:val="00524239"/>
    <w:rsid w:val="005245AB"/>
    <w:rsid w:val="00524807"/>
    <w:rsid w:val="00524818"/>
    <w:rsid w:val="00524A76"/>
    <w:rsid w:val="00524B46"/>
    <w:rsid w:val="00524CB9"/>
    <w:rsid w:val="00524CD7"/>
    <w:rsid w:val="00524D60"/>
    <w:rsid w:val="00525165"/>
    <w:rsid w:val="005253D8"/>
    <w:rsid w:val="00525836"/>
    <w:rsid w:val="00525A19"/>
    <w:rsid w:val="00525CA7"/>
    <w:rsid w:val="00525D76"/>
    <w:rsid w:val="00525ED8"/>
    <w:rsid w:val="0052604D"/>
    <w:rsid w:val="00526154"/>
    <w:rsid w:val="005265E5"/>
    <w:rsid w:val="00526827"/>
    <w:rsid w:val="005268B0"/>
    <w:rsid w:val="00526987"/>
    <w:rsid w:val="00526995"/>
    <w:rsid w:val="00526BB9"/>
    <w:rsid w:val="005271ED"/>
    <w:rsid w:val="00527218"/>
    <w:rsid w:val="00527249"/>
    <w:rsid w:val="00527350"/>
    <w:rsid w:val="005275AA"/>
    <w:rsid w:val="005276B4"/>
    <w:rsid w:val="00527748"/>
    <w:rsid w:val="00527D2B"/>
    <w:rsid w:val="00527EC7"/>
    <w:rsid w:val="00530385"/>
    <w:rsid w:val="00530980"/>
    <w:rsid w:val="00530A77"/>
    <w:rsid w:val="00530A8A"/>
    <w:rsid w:val="00530C2C"/>
    <w:rsid w:val="00530D16"/>
    <w:rsid w:val="00531AA3"/>
    <w:rsid w:val="00531E5C"/>
    <w:rsid w:val="005325AB"/>
    <w:rsid w:val="005325BB"/>
    <w:rsid w:val="005325FD"/>
    <w:rsid w:val="00532ABF"/>
    <w:rsid w:val="00532B94"/>
    <w:rsid w:val="0053302F"/>
    <w:rsid w:val="0053335D"/>
    <w:rsid w:val="00533398"/>
    <w:rsid w:val="005333C3"/>
    <w:rsid w:val="00533964"/>
    <w:rsid w:val="00533D48"/>
    <w:rsid w:val="00533D60"/>
    <w:rsid w:val="00534136"/>
    <w:rsid w:val="005345DA"/>
    <w:rsid w:val="005349B9"/>
    <w:rsid w:val="00534AB7"/>
    <w:rsid w:val="00534AEB"/>
    <w:rsid w:val="00534B0A"/>
    <w:rsid w:val="00534B6A"/>
    <w:rsid w:val="00534DE0"/>
    <w:rsid w:val="00534E53"/>
    <w:rsid w:val="00534FA7"/>
    <w:rsid w:val="00535154"/>
    <w:rsid w:val="00535677"/>
    <w:rsid w:val="005357E4"/>
    <w:rsid w:val="005359F0"/>
    <w:rsid w:val="00535BE8"/>
    <w:rsid w:val="00535BFB"/>
    <w:rsid w:val="00536161"/>
    <w:rsid w:val="00536CD5"/>
    <w:rsid w:val="00536EF9"/>
    <w:rsid w:val="00536FEC"/>
    <w:rsid w:val="005372BB"/>
    <w:rsid w:val="00537A68"/>
    <w:rsid w:val="00537D91"/>
    <w:rsid w:val="00540465"/>
    <w:rsid w:val="00540693"/>
    <w:rsid w:val="005407E6"/>
    <w:rsid w:val="00540862"/>
    <w:rsid w:val="005408A7"/>
    <w:rsid w:val="00540982"/>
    <w:rsid w:val="005409E2"/>
    <w:rsid w:val="00540A8D"/>
    <w:rsid w:val="00540B80"/>
    <w:rsid w:val="00540B96"/>
    <w:rsid w:val="00540EF5"/>
    <w:rsid w:val="00540F20"/>
    <w:rsid w:val="005410A7"/>
    <w:rsid w:val="00541632"/>
    <w:rsid w:val="00541692"/>
    <w:rsid w:val="005419C0"/>
    <w:rsid w:val="00541A63"/>
    <w:rsid w:val="00541ACE"/>
    <w:rsid w:val="00541C00"/>
    <w:rsid w:val="00541DB7"/>
    <w:rsid w:val="00541FBF"/>
    <w:rsid w:val="00542019"/>
    <w:rsid w:val="005421C3"/>
    <w:rsid w:val="0054231A"/>
    <w:rsid w:val="00542433"/>
    <w:rsid w:val="00542F84"/>
    <w:rsid w:val="00543290"/>
    <w:rsid w:val="005433AF"/>
    <w:rsid w:val="00543626"/>
    <w:rsid w:val="005436E5"/>
    <w:rsid w:val="00543CF8"/>
    <w:rsid w:val="00543D18"/>
    <w:rsid w:val="00543F52"/>
    <w:rsid w:val="00543FE6"/>
    <w:rsid w:val="005440AD"/>
    <w:rsid w:val="00544339"/>
    <w:rsid w:val="00544774"/>
    <w:rsid w:val="005447B6"/>
    <w:rsid w:val="005449AE"/>
    <w:rsid w:val="00544A93"/>
    <w:rsid w:val="0054536C"/>
    <w:rsid w:val="00545516"/>
    <w:rsid w:val="005461DB"/>
    <w:rsid w:val="0054637B"/>
    <w:rsid w:val="00546433"/>
    <w:rsid w:val="005465A1"/>
    <w:rsid w:val="005468F2"/>
    <w:rsid w:val="00546DFD"/>
    <w:rsid w:val="00547136"/>
    <w:rsid w:val="00547676"/>
    <w:rsid w:val="005477C1"/>
    <w:rsid w:val="005477F6"/>
    <w:rsid w:val="00547846"/>
    <w:rsid w:val="0054786D"/>
    <w:rsid w:val="00547B4E"/>
    <w:rsid w:val="00547FB5"/>
    <w:rsid w:val="00547FD8"/>
    <w:rsid w:val="00550023"/>
    <w:rsid w:val="00550AE8"/>
    <w:rsid w:val="00550BF0"/>
    <w:rsid w:val="005512C5"/>
    <w:rsid w:val="00551302"/>
    <w:rsid w:val="005516F4"/>
    <w:rsid w:val="005518D0"/>
    <w:rsid w:val="00551A77"/>
    <w:rsid w:val="00551B78"/>
    <w:rsid w:val="00551C0C"/>
    <w:rsid w:val="00551C52"/>
    <w:rsid w:val="00551C53"/>
    <w:rsid w:val="00551D05"/>
    <w:rsid w:val="00551DCF"/>
    <w:rsid w:val="00552166"/>
    <w:rsid w:val="005525D1"/>
    <w:rsid w:val="005529F3"/>
    <w:rsid w:val="00552A95"/>
    <w:rsid w:val="00552B91"/>
    <w:rsid w:val="00552DB6"/>
    <w:rsid w:val="00553129"/>
    <w:rsid w:val="00553202"/>
    <w:rsid w:val="00553378"/>
    <w:rsid w:val="00553424"/>
    <w:rsid w:val="0055374F"/>
    <w:rsid w:val="0055399A"/>
    <w:rsid w:val="00553C03"/>
    <w:rsid w:val="00553C3B"/>
    <w:rsid w:val="00553DD5"/>
    <w:rsid w:val="005545C3"/>
    <w:rsid w:val="00554661"/>
    <w:rsid w:val="00554C06"/>
    <w:rsid w:val="00554C7B"/>
    <w:rsid w:val="00554E67"/>
    <w:rsid w:val="005553D4"/>
    <w:rsid w:val="0055563C"/>
    <w:rsid w:val="005556F9"/>
    <w:rsid w:val="005557AE"/>
    <w:rsid w:val="00555835"/>
    <w:rsid w:val="00555908"/>
    <w:rsid w:val="00555A8A"/>
    <w:rsid w:val="00555D31"/>
    <w:rsid w:val="0055610E"/>
    <w:rsid w:val="00556F6A"/>
    <w:rsid w:val="005576F1"/>
    <w:rsid w:val="005578C0"/>
    <w:rsid w:val="00557B0D"/>
    <w:rsid w:val="00560058"/>
    <w:rsid w:val="00560319"/>
    <w:rsid w:val="0056031C"/>
    <w:rsid w:val="00560462"/>
    <w:rsid w:val="005605C6"/>
    <w:rsid w:val="00560816"/>
    <w:rsid w:val="00560B0F"/>
    <w:rsid w:val="00560DA3"/>
    <w:rsid w:val="00561415"/>
    <w:rsid w:val="00561627"/>
    <w:rsid w:val="00561CDB"/>
    <w:rsid w:val="0056209A"/>
    <w:rsid w:val="0056230F"/>
    <w:rsid w:val="00562342"/>
    <w:rsid w:val="005625D7"/>
    <w:rsid w:val="0056293C"/>
    <w:rsid w:val="00562960"/>
    <w:rsid w:val="005629F7"/>
    <w:rsid w:val="00562CB6"/>
    <w:rsid w:val="00562CC2"/>
    <w:rsid w:val="00562CCC"/>
    <w:rsid w:val="00562ED0"/>
    <w:rsid w:val="0056305E"/>
    <w:rsid w:val="005632BD"/>
    <w:rsid w:val="0056354D"/>
    <w:rsid w:val="005638CC"/>
    <w:rsid w:val="00563A81"/>
    <w:rsid w:val="00563BEC"/>
    <w:rsid w:val="00563EC5"/>
    <w:rsid w:val="00564070"/>
    <w:rsid w:val="00564730"/>
    <w:rsid w:val="00564834"/>
    <w:rsid w:val="0056494C"/>
    <w:rsid w:val="00564CB1"/>
    <w:rsid w:val="00564EAA"/>
    <w:rsid w:val="005652FE"/>
    <w:rsid w:val="005655E5"/>
    <w:rsid w:val="005657EA"/>
    <w:rsid w:val="00565951"/>
    <w:rsid w:val="005659B4"/>
    <w:rsid w:val="005659F8"/>
    <w:rsid w:val="00565FCC"/>
    <w:rsid w:val="0056689C"/>
    <w:rsid w:val="00566EE5"/>
    <w:rsid w:val="0056721B"/>
    <w:rsid w:val="005672BF"/>
    <w:rsid w:val="00567399"/>
    <w:rsid w:val="0056762E"/>
    <w:rsid w:val="00567AC5"/>
    <w:rsid w:val="00567D51"/>
    <w:rsid w:val="00567DD1"/>
    <w:rsid w:val="00567E52"/>
    <w:rsid w:val="00567EE4"/>
    <w:rsid w:val="0057012C"/>
    <w:rsid w:val="0057047B"/>
    <w:rsid w:val="00570501"/>
    <w:rsid w:val="00570798"/>
    <w:rsid w:val="005709E1"/>
    <w:rsid w:val="00570D7C"/>
    <w:rsid w:val="00570EF5"/>
    <w:rsid w:val="0057130E"/>
    <w:rsid w:val="0057132D"/>
    <w:rsid w:val="005713EE"/>
    <w:rsid w:val="005717CD"/>
    <w:rsid w:val="00571BDF"/>
    <w:rsid w:val="00571E6C"/>
    <w:rsid w:val="00572244"/>
    <w:rsid w:val="005725B2"/>
    <w:rsid w:val="00572C36"/>
    <w:rsid w:val="00572DB6"/>
    <w:rsid w:val="00573186"/>
    <w:rsid w:val="00573262"/>
    <w:rsid w:val="005732FA"/>
    <w:rsid w:val="005736DA"/>
    <w:rsid w:val="00573898"/>
    <w:rsid w:val="0057399B"/>
    <w:rsid w:val="00573AEA"/>
    <w:rsid w:val="00573E55"/>
    <w:rsid w:val="005740D9"/>
    <w:rsid w:val="005741B7"/>
    <w:rsid w:val="0057424C"/>
    <w:rsid w:val="005748D9"/>
    <w:rsid w:val="00574B9F"/>
    <w:rsid w:val="005750D5"/>
    <w:rsid w:val="0057518A"/>
    <w:rsid w:val="005755E5"/>
    <w:rsid w:val="0057582E"/>
    <w:rsid w:val="00575845"/>
    <w:rsid w:val="00575D93"/>
    <w:rsid w:val="005760D5"/>
    <w:rsid w:val="00576175"/>
    <w:rsid w:val="005761E8"/>
    <w:rsid w:val="005762ED"/>
    <w:rsid w:val="00576798"/>
    <w:rsid w:val="00576800"/>
    <w:rsid w:val="00576979"/>
    <w:rsid w:val="00576B11"/>
    <w:rsid w:val="00576D16"/>
    <w:rsid w:val="00576FDB"/>
    <w:rsid w:val="0057735E"/>
    <w:rsid w:val="0057749C"/>
    <w:rsid w:val="00577594"/>
    <w:rsid w:val="005775DA"/>
    <w:rsid w:val="005777F0"/>
    <w:rsid w:val="0058028C"/>
    <w:rsid w:val="005802B5"/>
    <w:rsid w:val="00580751"/>
    <w:rsid w:val="0058083B"/>
    <w:rsid w:val="0058087A"/>
    <w:rsid w:val="00580956"/>
    <w:rsid w:val="005812F8"/>
    <w:rsid w:val="005817D4"/>
    <w:rsid w:val="00581842"/>
    <w:rsid w:val="00581AB2"/>
    <w:rsid w:val="00582044"/>
    <w:rsid w:val="005822DE"/>
    <w:rsid w:val="005823EC"/>
    <w:rsid w:val="00582501"/>
    <w:rsid w:val="005826F7"/>
    <w:rsid w:val="00582782"/>
    <w:rsid w:val="00582D61"/>
    <w:rsid w:val="00582EF8"/>
    <w:rsid w:val="00582FE9"/>
    <w:rsid w:val="0058331E"/>
    <w:rsid w:val="005835F9"/>
    <w:rsid w:val="005837CD"/>
    <w:rsid w:val="00583CAF"/>
    <w:rsid w:val="00583CF0"/>
    <w:rsid w:val="00583D37"/>
    <w:rsid w:val="00583ECA"/>
    <w:rsid w:val="005843AF"/>
    <w:rsid w:val="00584851"/>
    <w:rsid w:val="00584928"/>
    <w:rsid w:val="00584A16"/>
    <w:rsid w:val="00584B35"/>
    <w:rsid w:val="00584BCF"/>
    <w:rsid w:val="00584E9D"/>
    <w:rsid w:val="00584F0C"/>
    <w:rsid w:val="00584FEE"/>
    <w:rsid w:val="00585028"/>
    <w:rsid w:val="00585250"/>
    <w:rsid w:val="005853CE"/>
    <w:rsid w:val="00585470"/>
    <w:rsid w:val="00585CA1"/>
    <w:rsid w:val="00586099"/>
    <w:rsid w:val="00586317"/>
    <w:rsid w:val="00586774"/>
    <w:rsid w:val="0058678A"/>
    <w:rsid w:val="0058698D"/>
    <w:rsid w:val="0058708C"/>
    <w:rsid w:val="00587959"/>
    <w:rsid w:val="00587A3F"/>
    <w:rsid w:val="00590047"/>
    <w:rsid w:val="00590182"/>
    <w:rsid w:val="0059031B"/>
    <w:rsid w:val="0059039C"/>
    <w:rsid w:val="005905C8"/>
    <w:rsid w:val="0059066E"/>
    <w:rsid w:val="005907DE"/>
    <w:rsid w:val="005908B3"/>
    <w:rsid w:val="00590CC6"/>
    <w:rsid w:val="0059111E"/>
    <w:rsid w:val="0059186B"/>
    <w:rsid w:val="00591886"/>
    <w:rsid w:val="00591E79"/>
    <w:rsid w:val="00591F18"/>
    <w:rsid w:val="00592070"/>
    <w:rsid w:val="00592328"/>
    <w:rsid w:val="00592579"/>
    <w:rsid w:val="00592A12"/>
    <w:rsid w:val="00592D86"/>
    <w:rsid w:val="00592E67"/>
    <w:rsid w:val="00592EFD"/>
    <w:rsid w:val="00592F0D"/>
    <w:rsid w:val="00592F46"/>
    <w:rsid w:val="00593760"/>
    <w:rsid w:val="00593827"/>
    <w:rsid w:val="00593943"/>
    <w:rsid w:val="00593B00"/>
    <w:rsid w:val="00593BB3"/>
    <w:rsid w:val="005943D8"/>
    <w:rsid w:val="00594585"/>
    <w:rsid w:val="00594590"/>
    <w:rsid w:val="005945F5"/>
    <w:rsid w:val="005947C7"/>
    <w:rsid w:val="005947E7"/>
    <w:rsid w:val="00594986"/>
    <w:rsid w:val="00594A98"/>
    <w:rsid w:val="00594F8B"/>
    <w:rsid w:val="005956C0"/>
    <w:rsid w:val="00595A07"/>
    <w:rsid w:val="00595AEB"/>
    <w:rsid w:val="00595B31"/>
    <w:rsid w:val="00595C14"/>
    <w:rsid w:val="00595C1A"/>
    <w:rsid w:val="00596227"/>
    <w:rsid w:val="005966E8"/>
    <w:rsid w:val="00596AB8"/>
    <w:rsid w:val="00596DEF"/>
    <w:rsid w:val="00596E7A"/>
    <w:rsid w:val="00596E83"/>
    <w:rsid w:val="0059709D"/>
    <w:rsid w:val="005970C5"/>
    <w:rsid w:val="005976DE"/>
    <w:rsid w:val="005978C0"/>
    <w:rsid w:val="00597951"/>
    <w:rsid w:val="00597F6B"/>
    <w:rsid w:val="005A0176"/>
    <w:rsid w:val="005A019C"/>
    <w:rsid w:val="005A025E"/>
    <w:rsid w:val="005A08B3"/>
    <w:rsid w:val="005A08F7"/>
    <w:rsid w:val="005A0A6E"/>
    <w:rsid w:val="005A0B38"/>
    <w:rsid w:val="005A0BCD"/>
    <w:rsid w:val="005A0CD6"/>
    <w:rsid w:val="005A0E6C"/>
    <w:rsid w:val="005A109C"/>
    <w:rsid w:val="005A1277"/>
    <w:rsid w:val="005A166C"/>
    <w:rsid w:val="005A179F"/>
    <w:rsid w:val="005A1A82"/>
    <w:rsid w:val="005A2335"/>
    <w:rsid w:val="005A2383"/>
    <w:rsid w:val="005A27B8"/>
    <w:rsid w:val="005A290A"/>
    <w:rsid w:val="005A2E3F"/>
    <w:rsid w:val="005A2EB1"/>
    <w:rsid w:val="005A2F88"/>
    <w:rsid w:val="005A31A3"/>
    <w:rsid w:val="005A3600"/>
    <w:rsid w:val="005A36E5"/>
    <w:rsid w:val="005A37FD"/>
    <w:rsid w:val="005A3BF6"/>
    <w:rsid w:val="005A3C13"/>
    <w:rsid w:val="005A3E64"/>
    <w:rsid w:val="005A3E8C"/>
    <w:rsid w:val="005A4200"/>
    <w:rsid w:val="005A42BA"/>
    <w:rsid w:val="005A437A"/>
    <w:rsid w:val="005A4701"/>
    <w:rsid w:val="005A4869"/>
    <w:rsid w:val="005A4A93"/>
    <w:rsid w:val="005A4B6E"/>
    <w:rsid w:val="005A4C37"/>
    <w:rsid w:val="005A50D2"/>
    <w:rsid w:val="005A5146"/>
    <w:rsid w:val="005A5584"/>
    <w:rsid w:val="005A5695"/>
    <w:rsid w:val="005A57D2"/>
    <w:rsid w:val="005A600A"/>
    <w:rsid w:val="005A622D"/>
    <w:rsid w:val="005A6428"/>
    <w:rsid w:val="005A6738"/>
    <w:rsid w:val="005A68C9"/>
    <w:rsid w:val="005A6A0E"/>
    <w:rsid w:val="005A7008"/>
    <w:rsid w:val="005A7058"/>
    <w:rsid w:val="005A73A3"/>
    <w:rsid w:val="005A776A"/>
    <w:rsid w:val="005A7842"/>
    <w:rsid w:val="005A7DC1"/>
    <w:rsid w:val="005A7DEC"/>
    <w:rsid w:val="005A7F51"/>
    <w:rsid w:val="005B0007"/>
    <w:rsid w:val="005B020A"/>
    <w:rsid w:val="005B037F"/>
    <w:rsid w:val="005B0581"/>
    <w:rsid w:val="005B085F"/>
    <w:rsid w:val="005B0AD9"/>
    <w:rsid w:val="005B0DF5"/>
    <w:rsid w:val="005B0DFE"/>
    <w:rsid w:val="005B0E6B"/>
    <w:rsid w:val="005B0EF3"/>
    <w:rsid w:val="005B1363"/>
    <w:rsid w:val="005B1708"/>
    <w:rsid w:val="005B1859"/>
    <w:rsid w:val="005B191C"/>
    <w:rsid w:val="005B1EB9"/>
    <w:rsid w:val="005B2351"/>
    <w:rsid w:val="005B2519"/>
    <w:rsid w:val="005B2A82"/>
    <w:rsid w:val="005B2AFD"/>
    <w:rsid w:val="005B2EE0"/>
    <w:rsid w:val="005B32FB"/>
    <w:rsid w:val="005B335B"/>
    <w:rsid w:val="005B340C"/>
    <w:rsid w:val="005B3788"/>
    <w:rsid w:val="005B3975"/>
    <w:rsid w:val="005B3BA4"/>
    <w:rsid w:val="005B3BAD"/>
    <w:rsid w:val="005B3C47"/>
    <w:rsid w:val="005B3E86"/>
    <w:rsid w:val="005B41A4"/>
    <w:rsid w:val="005B4418"/>
    <w:rsid w:val="005B4442"/>
    <w:rsid w:val="005B470C"/>
    <w:rsid w:val="005B4CBD"/>
    <w:rsid w:val="005B505A"/>
    <w:rsid w:val="005B5242"/>
    <w:rsid w:val="005B52B5"/>
    <w:rsid w:val="005B5366"/>
    <w:rsid w:val="005B5379"/>
    <w:rsid w:val="005B5826"/>
    <w:rsid w:val="005B5974"/>
    <w:rsid w:val="005B5F16"/>
    <w:rsid w:val="005B6172"/>
    <w:rsid w:val="005B639D"/>
    <w:rsid w:val="005B6766"/>
    <w:rsid w:val="005B6C55"/>
    <w:rsid w:val="005B6CB2"/>
    <w:rsid w:val="005B706B"/>
    <w:rsid w:val="005B7345"/>
    <w:rsid w:val="005B768E"/>
    <w:rsid w:val="005B779C"/>
    <w:rsid w:val="005B7811"/>
    <w:rsid w:val="005B783D"/>
    <w:rsid w:val="005B7986"/>
    <w:rsid w:val="005B7BAD"/>
    <w:rsid w:val="005B7DEC"/>
    <w:rsid w:val="005C03CF"/>
    <w:rsid w:val="005C066B"/>
    <w:rsid w:val="005C070E"/>
    <w:rsid w:val="005C1099"/>
    <w:rsid w:val="005C10B9"/>
    <w:rsid w:val="005C10EA"/>
    <w:rsid w:val="005C1179"/>
    <w:rsid w:val="005C11C9"/>
    <w:rsid w:val="005C12EF"/>
    <w:rsid w:val="005C1387"/>
    <w:rsid w:val="005C1618"/>
    <w:rsid w:val="005C1818"/>
    <w:rsid w:val="005C18DC"/>
    <w:rsid w:val="005C196B"/>
    <w:rsid w:val="005C1E84"/>
    <w:rsid w:val="005C209A"/>
    <w:rsid w:val="005C2176"/>
    <w:rsid w:val="005C2478"/>
    <w:rsid w:val="005C2521"/>
    <w:rsid w:val="005C2629"/>
    <w:rsid w:val="005C2693"/>
    <w:rsid w:val="005C2A3A"/>
    <w:rsid w:val="005C2AEA"/>
    <w:rsid w:val="005C2F3D"/>
    <w:rsid w:val="005C3010"/>
    <w:rsid w:val="005C3013"/>
    <w:rsid w:val="005C30D3"/>
    <w:rsid w:val="005C3835"/>
    <w:rsid w:val="005C3A24"/>
    <w:rsid w:val="005C3CD0"/>
    <w:rsid w:val="005C46DE"/>
    <w:rsid w:val="005C4BFF"/>
    <w:rsid w:val="005C4CB1"/>
    <w:rsid w:val="005C4D02"/>
    <w:rsid w:val="005C4DCF"/>
    <w:rsid w:val="005C5234"/>
    <w:rsid w:val="005C5611"/>
    <w:rsid w:val="005C5834"/>
    <w:rsid w:val="005C58E8"/>
    <w:rsid w:val="005C5AD3"/>
    <w:rsid w:val="005C5AF7"/>
    <w:rsid w:val="005C5CD3"/>
    <w:rsid w:val="005C6352"/>
    <w:rsid w:val="005C6425"/>
    <w:rsid w:val="005C650A"/>
    <w:rsid w:val="005C652C"/>
    <w:rsid w:val="005C65D1"/>
    <w:rsid w:val="005C65E4"/>
    <w:rsid w:val="005C6791"/>
    <w:rsid w:val="005C6910"/>
    <w:rsid w:val="005C6A38"/>
    <w:rsid w:val="005C6B3B"/>
    <w:rsid w:val="005C6B47"/>
    <w:rsid w:val="005C6B58"/>
    <w:rsid w:val="005C70FB"/>
    <w:rsid w:val="005C73D0"/>
    <w:rsid w:val="005C76C6"/>
    <w:rsid w:val="005C791E"/>
    <w:rsid w:val="005C7956"/>
    <w:rsid w:val="005C79D3"/>
    <w:rsid w:val="005D0695"/>
    <w:rsid w:val="005D079B"/>
    <w:rsid w:val="005D0E89"/>
    <w:rsid w:val="005D107E"/>
    <w:rsid w:val="005D10FD"/>
    <w:rsid w:val="005D12E4"/>
    <w:rsid w:val="005D1439"/>
    <w:rsid w:val="005D235A"/>
    <w:rsid w:val="005D265A"/>
    <w:rsid w:val="005D26E8"/>
    <w:rsid w:val="005D27AE"/>
    <w:rsid w:val="005D2AFF"/>
    <w:rsid w:val="005D3824"/>
    <w:rsid w:val="005D38E8"/>
    <w:rsid w:val="005D3BE8"/>
    <w:rsid w:val="005D46B8"/>
    <w:rsid w:val="005D46C4"/>
    <w:rsid w:val="005D487E"/>
    <w:rsid w:val="005D4D14"/>
    <w:rsid w:val="005D4D2B"/>
    <w:rsid w:val="005D4D64"/>
    <w:rsid w:val="005D4DCB"/>
    <w:rsid w:val="005D53D6"/>
    <w:rsid w:val="005D5581"/>
    <w:rsid w:val="005D569C"/>
    <w:rsid w:val="005D59AA"/>
    <w:rsid w:val="005D5C2D"/>
    <w:rsid w:val="005D5C9E"/>
    <w:rsid w:val="005D5CB3"/>
    <w:rsid w:val="005D6631"/>
    <w:rsid w:val="005D6740"/>
    <w:rsid w:val="005D6A63"/>
    <w:rsid w:val="005D6CA9"/>
    <w:rsid w:val="005D6CE7"/>
    <w:rsid w:val="005D6EDE"/>
    <w:rsid w:val="005D6F0C"/>
    <w:rsid w:val="005D73CD"/>
    <w:rsid w:val="005D7758"/>
    <w:rsid w:val="005D775C"/>
    <w:rsid w:val="005D7BDE"/>
    <w:rsid w:val="005E0373"/>
    <w:rsid w:val="005E03BF"/>
    <w:rsid w:val="005E0681"/>
    <w:rsid w:val="005E0B07"/>
    <w:rsid w:val="005E0D50"/>
    <w:rsid w:val="005E0E22"/>
    <w:rsid w:val="005E0EC9"/>
    <w:rsid w:val="005E0ED7"/>
    <w:rsid w:val="005E0F1B"/>
    <w:rsid w:val="005E1064"/>
    <w:rsid w:val="005E1303"/>
    <w:rsid w:val="005E155F"/>
    <w:rsid w:val="005E15F5"/>
    <w:rsid w:val="005E1764"/>
    <w:rsid w:val="005E1782"/>
    <w:rsid w:val="005E1AE8"/>
    <w:rsid w:val="005E1CAF"/>
    <w:rsid w:val="005E1F16"/>
    <w:rsid w:val="005E1F52"/>
    <w:rsid w:val="005E20A2"/>
    <w:rsid w:val="005E2224"/>
    <w:rsid w:val="005E23E4"/>
    <w:rsid w:val="005E2645"/>
    <w:rsid w:val="005E282A"/>
    <w:rsid w:val="005E2D6B"/>
    <w:rsid w:val="005E2E77"/>
    <w:rsid w:val="005E38B3"/>
    <w:rsid w:val="005E3AA0"/>
    <w:rsid w:val="005E423F"/>
    <w:rsid w:val="005E44A3"/>
    <w:rsid w:val="005E454B"/>
    <w:rsid w:val="005E4735"/>
    <w:rsid w:val="005E481D"/>
    <w:rsid w:val="005E49D4"/>
    <w:rsid w:val="005E507E"/>
    <w:rsid w:val="005E57AA"/>
    <w:rsid w:val="005E58CF"/>
    <w:rsid w:val="005E58EF"/>
    <w:rsid w:val="005E5EAD"/>
    <w:rsid w:val="005E6A65"/>
    <w:rsid w:val="005E6FE9"/>
    <w:rsid w:val="005E70F8"/>
    <w:rsid w:val="005E71AA"/>
    <w:rsid w:val="005E774A"/>
    <w:rsid w:val="005E799F"/>
    <w:rsid w:val="005E7B0B"/>
    <w:rsid w:val="005F01A8"/>
    <w:rsid w:val="005F0382"/>
    <w:rsid w:val="005F0698"/>
    <w:rsid w:val="005F08CE"/>
    <w:rsid w:val="005F0D73"/>
    <w:rsid w:val="005F1144"/>
    <w:rsid w:val="005F14FB"/>
    <w:rsid w:val="005F1626"/>
    <w:rsid w:val="005F1920"/>
    <w:rsid w:val="005F1CFA"/>
    <w:rsid w:val="005F2A77"/>
    <w:rsid w:val="005F2D2C"/>
    <w:rsid w:val="005F2E3A"/>
    <w:rsid w:val="005F30C1"/>
    <w:rsid w:val="005F341A"/>
    <w:rsid w:val="005F3575"/>
    <w:rsid w:val="005F3620"/>
    <w:rsid w:val="005F3677"/>
    <w:rsid w:val="005F3760"/>
    <w:rsid w:val="005F3934"/>
    <w:rsid w:val="005F3942"/>
    <w:rsid w:val="005F39C0"/>
    <w:rsid w:val="005F3B7B"/>
    <w:rsid w:val="005F3D06"/>
    <w:rsid w:val="005F3D84"/>
    <w:rsid w:val="005F3E6B"/>
    <w:rsid w:val="005F3FA2"/>
    <w:rsid w:val="005F4961"/>
    <w:rsid w:val="005F4C1D"/>
    <w:rsid w:val="005F50A1"/>
    <w:rsid w:val="005F533D"/>
    <w:rsid w:val="005F537E"/>
    <w:rsid w:val="005F53AC"/>
    <w:rsid w:val="005F540D"/>
    <w:rsid w:val="005F56F3"/>
    <w:rsid w:val="005F592D"/>
    <w:rsid w:val="005F5ADA"/>
    <w:rsid w:val="005F5BED"/>
    <w:rsid w:val="005F5F8D"/>
    <w:rsid w:val="005F60C7"/>
    <w:rsid w:val="005F616A"/>
    <w:rsid w:val="005F666D"/>
    <w:rsid w:val="005F668D"/>
    <w:rsid w:val="005F6A91"/>
    <w:rsid w:val="005F6C12"/>
    <w:rsid w:val="005F6D97"/>
    <w:rsid w:val="005F6FCE"/>
    <w:rsid w:val="005F70FA"/>
    <w:rsid w:val="005F717B"/>
    <w:rsid w:val="005F73EE"/>
    <w:rsid w:val="005F7716"/>
    <w:rsid w:val="005F7777"/>
    <w:rsid w:val="005F7938"/>
    <w:rsid w:val="005F7AA8"/>
    <w:rsid w:val="005F7AB2"/>
    <w:rsid w:val="005F7DD3"/>
    <w:rsid w:val="006001B1"/>
    <w:rsid w:val="00600639"/>
    <w:rsid w:val="006008E6"/>
    <w:rsid w:val="00600AA0"/>
    <w:rsid w:val="00600E68"/>
    <w:rsid w:val="006010BF"/>
    <w:rsid w:val="0060174C"/>
    <w:rsid w:val="00601788"/>
    <w:rsid w:val="00601FA4"/>
    <w:rsid w:val="00602144"/>
    <w:rsid w:val="0060238D"/>
    <w:rsid w:val="00602599"/>
    <w:rsid w:val="00602770"/>
    <w:rsid w:val="00602AFD"/>
    <w:rsid w:val="00602D45"/>
    <w:rsid w:val="00603204"/>
    <w:rsid w:val="006033F4"/>
    <w:rsid w:val="0060354C"/>
    <w:rsid w:val="0060385D"/>
    <w:rsid w:val="006038A3"/>
    <w:rsid w:val="00603B05"/>
    <w:rsid w:val="00603DBB"/>
    <w:rsid w:val="00603F5F"/>
    <w:rsid w:val="0060423D"/>
    <w:rsid w:val="006042CA"/>
    <w:rsid w:val="00604571"/>
    <w:rsid w:val="006047F1"/>
    <w:rsid w:val="006051DA"/>
    <w:rsid w:val="00605206"/>
    <w:rsid w:val="00605302"/>
    <w:rsid w:val="00605996"/>
    <w:rsid w:val="00605BED"/>
    <w:rsid w:val="00605F51"/>
    <w:rsid w:val="006062E3"/>
    <w:rsid w:val="00606494"/>
    <w:rsid w:val="0060675E"/>
    <w:rsid w:val="00606864"/>
    <w:rsid w:val="00606CA4"/>
    <w:rsid w:val="00607010"/>
    <w:rsid w:val="006070CC"/>
    <w:rsid w:val="006071DF"/>
    <w:rsid w:val="006073A8"/>
    <w:rsid w:val="00607A49"/>
    <w:rsid w:val="00607E5C"/>
    <w:rsid w:val="00607F71"/>
    <w:rsid w:val="00610563"/>
    <w:rsid w:val="0061076B"/>
    <w:rsid w:val="0061078A"/>
    <w:rsid w:val="0061091A"/>
    <w:rsid w:val="00610A1C"/>
    <w:rsid w:val="00610EA3"/>
    <w:rsid w:val="00610F79"/>
    <w:rsid w:val="006110BD"/>
    <w:rsid w:val="00611120"/>
    <w:rsid w:val="00611257"/>
    <w:rsid w:val="00611544"/>
    <w:rsid w:val="006115CA"/>
    <w:rsid w:val="006116AB"/>
    <w:rsid w:val="006116F0"/>
    <w:rsid w:val="006117BF"/>
    <w:rsid w:val="00611C08"/>
    <w:rsid w:val="00611D2D"/>
    <w:rsid w:val="00611D53"/>
    <w:rsid w:val="00611E24"/>
    <w:rsid w:val="00611EF6"/>
    <w:rsid w:val="0061204C"/>
    <w:rsid w:val="006122D6"/>
    <w:rsid w:val="0061267F"/>
    <w:rsid w:val="006126BE"/>
    <w:rsid w:val="006126D2"/>
    <w:rsid w:val="00612C96"/>
    <w:rsid w:val="00612EB2"/>
    <w:rsid w:val="00612F02"/>
    <w:rsid w:val="00612FA7"/>
    <w:rsid w:val="00612FF1"/>
    <w:rsid w:val="00613999"/>
    <w:rsid w:val="00613A68"/>
    <w:rsid w:val="00613BB3"/>
    <w:rsid w:val="00613D5A"/>
    <w:rsid w:val="0061434A"/>
    <w:rsid w:val="0061449C"/>
    <w:rsid w:val="00614711"/>
    <w:rsid w:val="00614D10"/>
    <w:rsid w:val="006150EE"/>
    <w:rsid w:val="0061514A"/>
    <w:rsid w:val="0061571D"/>
    <w:rsid w:val="0061582D"/>
    <w:rsid w:val="00615C4C"/>
    <w:rsid w:val="00615F76"/>
    <w:rsid w:val="006160BC"/>
    <w:rsid w:val="006164FF"/>
    <w:rsid w:val="00616562"/>
    <w:rsid w:val="00616932"/>
    <w:rsid w:val="00616CBD"/>
    <w:rsid w:val="00616D03"/>
    <w:rsid w:val="00616DC3"/>
    <w:rsid w:val="00617387"/>
    <w:rsid w:val="00617465"/>
    <w:rsid w:val="006175B6"/>
    <w:rsid w:val="0061766E"/>
    <w:rsid w:val="0061785F"/>
    <w:rsid w:val="00617A0C"/>
    <w:rsid w:val="00617D8D"/>
    <w:rsid w:val="00620124"/>
    <w:rsid w:val="00620496"/>
    <w:rsid w:val="00620C9C"/>
    <w:rsid w:val="00620CA0"/>
    <w:rsid w:val="00620CE8"/>
    <w:rsid w:val="00620D3B"/>
    <w:rsid w:val="00620ED5"/>
    <w:rsid w:val="00620F5B"/>
    <w:rsid w:val="00620F9C"/>
    <w:rsid w:val="00620FDF"/>
    <w:rsid w:val="00621C4E"/>
    <w:rsid w:val="00621C5B"/>
    <w:rsid w:val="00621FE9"/>
    <w:rsid w:val="00622653"/>
    <w:rsid w:val="006228B6"/>
    <w:rsid w:val="00622CE5"/>
    <w:rsid w:val="00622FC1"/>
    <w:rsid w:val="00623039"/>
    <w:rsid w:val="0062338D"/>
    <w:rsid w:val="00623F8C"/>
    <w:rsid w:val="0062438A"/>
    <w:rsid w:val="00624402"/>
    <w:rsid w:val="0062447B"/>
    <w:rsid w:val="00624AC9"/>
    <w:rsid w:val="00624B1C"/>
    <w:rsid w:val="00624F2A"/>
    <w:rsid w:val="0062538B"/>
    <w:rsid w:val="00625403"/>
    <w:rsid w:val="006254C5"/>
    <w:rsid w:val="006255C3"/>
    <w:rsid w:val="00625648"/>
    <w:rsid w:val="00625717"/>
    <w:rsid w:val="006259F3"/>
    <w:rsid w:val="00625B4B"/>
    <w:rsid w:val="0062602E"/>
    <w:rsid w:val="006260C2"/>
    <w:rsid w:val="00626377"/>
    <w:rsid w:val="0062644D"/>
    <w:rsid w:val="006269C1"/>
    <w:rsid w:val="006269EA"/>
    <w:rsid w:val="00626AC6"/>
    <w:rsid w:val="00626E08"/>
    <w:rsid w:val="00626F91"/>
    <w:rsid w:val="00626FCC"/>
    <w:rsid w:val="00626FE5"/>
    <w:rsid w:val="00627056"/>
    <w:rsid w:val="0062744E"/>
    <w:rsid w:val="0062755D"/>
    <w:rsid w:val="00627615"/>
    <w:rsid w:val="00627A24"/>
    <w:rsid w:val="00627BD6"/>
    <w:rsid w:val="0063012A"/>
    <w:rsid w:val="00630512"/>
    <w:rsid w:val="0063056F"/>
    <w:rsid w:val="00630B6B"/>
    <w:rsid w:val="00630D9C"/>
    <w:rsid w:val="00630E23"/>
    <w:rsid w:val="00630E77"/>
    <w:rsid w:val="0063136E"/>
    <w:rsid w:val="006316AE"/>
    <w:rsid w:val="00631808"/>
    <w:rsid w:val="00631AAC"/>
    <w:rsid w:val="00631BCF"/>
    <w:rsid w:val="00631BDA"/>
    <w:rsid w:val="00631CBE"/>
    <w:rsid w:val="00631E21"/>
    <w:rsid w:val="00631E71"/>
    <w:rsid w:val="00631FC1"/>
    <w:rsid w:val="006321A0"/>
    <w:rsid w:val="00632513"/>
    <w:rsid w:val="00632653"/>
    <w:rsid w:val="00632718"/>
    <w:rsid w:val="006327E2"/>
    <w:rsid w:val="006328D6"/>
    <w:rsid w:val="00632D9A"/>
    <w:rsid w:val="00633016"/>
    <w:rsid w:val="006331B3"/>
    <w:rsid w:val="006332D5"/>
    <w:rsid w:val="00633392"/>
    <w:rsid w:val="00634116"/>
    <w:rsid w:val="006344CE"/>
    <w:rsid w:val="00634986"/>
    <w:rsid w:val="00634BF2"/>
    <w:rsid w:val="00634FA2"/>
    <w:rsid w:val="0063585C"/>
    <w:rsid w:val="006359B6"/>
    <w:rsid w:val="00635BFE"/>
    <w:rsid w:val="00635C8F"/>
    <w:rsid w:val="00635CC9"/>
    <w:rsid w:val="00635E75"/>
    <w:rsid w:val="00635EEB"/>
    <w:rsid w:val="006362ED"/>
    <w:rsid w:val="006366E1"/>
    <w:rsid w:val="006368F7"/>
    <w:rsid w:val="00636B90"/>
    <w:rsid w:val="00636C9B"/>
    <w:rsid w:val="00636E83"/>
    <w:rsid w:val="00637137"/>
    <w:rsid w:val="0063718B"/>
    <w:rsid w:val="00637340"/>
    <w:rsid w:val="006374AA"/>
    <w:rsid w:val="00637776"/>
    <w:rsid w:val="00637933"/>
    <w:rsid w:val="00637996"/>
    <w:rsid w:val="00637EE5"/>
    <w:rsid w:val="00640441"/>
    <w:rsid w:val="006407C7"/>
    <w:rsid w:val="006408FD"/>
    <w:rsid w:val="006409CE"/>
    <w:rsid w:val="00640A7E"/>
    <w:rsid w:val="00640A9F"/>
    <w:rsid w:val="00640DD3"/>
    <w:rsid w:val="00641416"/>
    <w:rsid w:val="00641533"/>
    <w:rsid w:val="00641A12"/>
    <w:rsid w:val="00642096"/>
    <w:rsid w:val="00642383"/>
    <w:rsid w:val="006424F5"/>
    <w:rsid w:val="00642601"/>
    <w:rsid w:val="00642655"/>
    <w:rsid w:val="006429B6"/>
    <w:rsid w:val="00643354"/>
    <w:rsid w:val="0064357C"/>
    <w:rsid w:val="0064370B"/>
    <w:rsid w:val="0064378C"/>
    <w:rsid w:val="00643E59"/>
    <w:rsid w:val="00643E95"/>
    <w:rsid w:val="0064412F"/>
    <w:rsid w:val="006441A6"/>
    <w:rsid w:val="0064426F"/>
    <w:rsid w:val="006444AD"/>
    <w:rsid w:val="006445B4"/>
    <w:rsid w:val="00644604"/>
    <w:rsid w:val="0064473C"/>
    <w:rsid w:val="006449B9"/>
    <w:rsid w:val="00644A07"/>
    <w:rsid w:val="00644C9D"/>
    <w:rsid w:val="00644D03"/>
    <w:rsid w:val="00644E1C"/>
    <w:rsid w:val="00644FAF"/>
    <w:rsid w:val="006454CF"/>
    <w:rsid w:val="0064584B"/>
    <w:rsid w:val="006459D6"/>
    <w:rsid w:val="00645B30"/>
    <w:rsid w:val="00646BC8"/>
    <w:rsid w:val="00646CD7"/>
    <w:rsid w:val="00647846"/>
    <w:rsid w:val="006478FC"/>
    <w:rsid w:val="00647999"/>
    <w:rsid w:val="00647A33"/>
    <w:rsid w:val="00647DB0"/>
    <w:rsid w:val="00647F9D"/>
    <w:rsid w:val="006504D7"/>
    <w:rsid w:val="006505E0"/>
    <w:rsid w:val="006507E3"/>
    <w:rsid w:val="00650E00"/>
    <w:rsid w:val="00650E03"/>
    <w:rsid w:val="00651407"/>
    <w:rsid w:val="006517DB"/>
    <w:rsid w:val="0065183F"/>
    <w:rsid w:val="006518F2"/>
    <w:rsid w:val="006518FF"/>
    <w:rsid w:val="00651B27"/>
    <w:rsid w:val="00651B6B"/>
    <w:rsid w:val="00651DCA"/>
    <w:rsid w:val="0065252B"/>
    <w:rsid w:val="00652722"/>
    <w:rsid w:val="00652D8F"/>
    <w:rsid w:val="00652E8E"/>
    <w:rsid w:val="00653547"/>
    <w:rsid w:val="0065399A"/>
    <w:rsid w:val="00653E95"/>
    <w:rsid w:val="00654138"/>
    <w:rsid w:val="006543D7"/>
    <w:rsid w:val="00654637"/>
    <w:rsid w:val="006547D7"/>
    <w:rsid w:val="00654F8D"/>
    <w:rsid w:val="00655143"/>
    <w:rsid w:val="0065551F"/>
    <w:rsid w:val="00655C7A"/>
    <w:rsid w:val="006560E3"/>
    <w:rsid w:val="0065626E"/>
    <w:rsid w:val="006563CE"/>
    <w:rsid w:val="0065655D"/>
    <w:rsid w:val="0065664F"/>
    <w:rsid w:val="00656814"/>
    <w:rsid w:val="00656986"/>
    <w:rsid w:val="00656AA9"/>
    <w:rsid w:val="00656DC6"/>
    <w:rsid w:val="0065727D"/>
    <w:rsid w:val="00657656"/>
    <w:rsid w:val="00657965"/>
    <w:rsid w:val="00657B00"/>
    <w:rsid w:val="00657D2D"/>
    <w:rsid w:val="00657E8B"/>
    <w:rsid w:val="006602F6"/>
    <w:rsid w:val="006604FD"/>
    <w:rsid w:val="00660F17"/>
    <w:rsid w:val="0066115A"/>
    <w:rsid w:val="006613CD"/>
    <w:rsid w:val="00661584"/>
    <w:rsid w:val="006619D1"/>
    <w:rsid w:val="00662A1C"/>
    <w:rsid w:val="00662B0B"/>
    <w:rsid w:val="00662C12"/>
    <w:rsid w:val="00663148"/>
    <w:rsid w:val="00663153"/>
    <w:rsid w:val="006631FE"/>
    <w:rsid w:val="0066359F"/>
    <w:rsid w:val="00663636"/>
    <w:rsid w:val="00663745"/>
    <w:rsid w:val="00663DF7"/>
    <w:rsid w:val="00663ED9"/>
    <w:rsid w:val="0066414B"/>
    <w:rsid w:val="0066456D"/>
    <w:rsid w:val="006645E1"/>
    <w:rsid w:val="00664619"/>
    <w:rsid w:val="00664C05"/>
    <w:rsid w:val="00664C5E"/>
    <w:rsid w:val="00664D7B"/>
    <w:rsid w:val="00664DDC"/>
    <w:rsid w:val="0066511C"/>
    <w:rsid w:val="0066525E"/>
    <w:rsid w:val="006652A4"/>
    <w:rsid w:val="0066566C"/>
    <w:rsid w:val="00665E49"/>
    <w:rsid w:val="00665E74"/>
    <w:rsid w:val="00665F0B"/>
    <w:rsid w:val="00666434"/>
    <w:rsid w:val="006664E6"/>
    <w:rsid w:val="0066662F"/>
    <w:rsid w:val="0066670D"/>
    <w:rsid w:val="00666852"/>
    <w:rsid w:val="00666BE4"/>
    <w:rsid w:val="00666DC3"/>
    <w:rsid w:val="0066713B"/>
    <w:rsid w:val="0066726F"/>
    <w:rsid w:val="0066758B"/>
    <w:rsid w:val="00667D8C"/>
    <w:rsid w:val="0067001E"/>
    <w:rsid w:val="006701A4"/>
    <w:rsid w:val="006704BE"/>
    <w:rsid w:val="006706D4"/>
    <w:rsid w:val="00670729"/>
    <w:rsid w:val="00670D41"/>
    <w:rsid w:val="00670FDE"/>
    <w:rsid w:val="00671066"/>
    <w:rsid w:val="0067143C"/>
    <w:rsid w:val="00671483"/>
    <w:rsid w:val="006714D9"/>
    <w:rsid w:val="00671CCD"/>
    <w:rsid w:val="00671CD8"/>
    <w:rsid w:val="00671D28"/>
    <w:rsid w:val="00671DEA"/>
    <w:rsid w:val="00671E01"/>
    <w:rsid w:val="00671E35"/>
    <w:rsid w:val="00671FE8"/>
    <w:rsid w:val="00672160"/>
    <w:rsid w:val="006725C5"/>
    <w:rsid w:val="006726E5"/>
    <w:rsid w:val="006728E7"/>
    <w:rsid w:val="0067291E"/>
    <w:rsid w:val="00672E1B"/>
    <w:rsid w:val="0067322C"/>
    <w:rsid w:val="006732A1"/>
    <w:rsid w:val="0067342D"/>
    <w:rsid w:val="00673643"/>
    <w:rsid w:val="00673AE6"/>
    <w:rsid w:val="00673E87"/>
    <w:rsid w:val="00674396"/>
    <w:rsid w:val="006745E8"/>
    <w:rsid w:val="00674618"/>
    <w:rsid w:val="0067473A"/>
    <w:rsid w:val="006749AA"/>
    <w:rsid w:val="00674A38"/>
    <w:rsid w:val="00674C33"/>
    <w:rsid w:val="00675335"/>
    <w:rsid w:val="0067549C"/>
    <w:rsid w:val="0067572C"/>
    <w:rsid w:val="00675838"/>
    <w:rsid w:val="00675885"/>
    <w:rsid w:val="00675E2D"/>
    <w:rsid w:val="006760CA"/>
    <w:rsid w:val="00676944"/>
    <w:rsid w:val="006769FD"/>
    <w:rsid w:val="00676B06"/>
    <w:rsid w:val="00676B2F"/>
    <w:rsid w:val="00676D48"/>
    <w:rsid w:val="00676EAC"/>
    <w:rsid w:val="00677212"/>
    <w:rsid w:val="0067739E"/>
    <w:rsid w:val="006774AB"/>
    <w:rsid w:val="0067754D"/>
    <w:rsid w:val="006778A2"/>
    <w:rsid w:val="006779A4"/>
    <w:rsid w:val="00677BBA"/>
    <w:rsid w:val="00680154"/>
    <w:rsid w:val="0068026A"/>
    <w:rsid w:val="0068028B"/>
    <w:rsid w:val="0068043E"/>
    <w:rsid w:val="006809DE"/>
    <w:rsid w:val="00680B20"/>
    <w:rsid w:val="00681233"/>
    <w:rsid w:val="0068153D"/>
    <w:rsid w:val="006815CB"/>
    <w:rsid w:val="00681682"/>
    <w:rsid w:val="00681CFE"/>
    <w:rsid w:val="006820DE"/>
    <w:rsid w:val="00682244"/>
    <w:rsid w:val="006822CD"/>
    <w:rsid w:val="00682354"/>
    <w:rsid w:val="006824F4"/>
    <w:rsid w:val="00682BC6"/>
    <w:rsid w:val="00682C81"/>
    <w:rsid w:val="006834FC"/>
    <w:rsid w:val="0068406D"/>
    <w:rsid w:val="0068462C"/>
    <w:rsid w:val="00684BBE"/>
    <w:rsid w:val="00684DA2"/>
    <w:rsid w:val="00684FD4"/>
    <w:rsid w:val="00685280"/>
    <w:rsid w:val="0068542A"/>
    <w:rsid w:val="00685439"/>
    <w:rsid w:val="00685B6D"/>
    <w:rsid w:val="00685DEC"/>
    <w:rsid w:val="00685F57"/>
    <w:rsid w:val="00685FF2"/>
    <w:rsid w:val="0068645A"/>
    <w:rsid w:val="00686490"/>
    <w:rsid w:val="006869A4"/>
    <w:rsid w:val="00686BF9"/>
    <w:rsid w:val="00686C9F"/>
    <w:rsid w:val="00686D73"/>
    <w:rsid w:val="00686DB9"/>
    <w:rsid w:val="00686F6C"/>
    <w:rsid w:val="00687350"/>
    <w:rsid w:val="006874A0"/>
    <w:rsid w:val="00687A00"/>
    <w:rsid w:val="00687F77"/>
    <w:rsid w:val="006900A5"/>
    <w:rsid w:val="006901B8"/>
    <w:rsid w:val="0069028A"/>
    <w:rsid w:val="0069037C"/>
    <w:rsid w:val="00690411"/>
    <w:rsid w:val="006905B3"/>
    <w:rsid w:val="006908CC"/>
    <w:rsid w:val="00690A9E"/>
    <w:rsid w:val="00690CDD"/>
    <w:rsid w:val="0069190E"/>
    <w:rsid w:val="00691C4A"/>
    <w:rsid w:val="0069203F"/>
    <w:rsid w:val="006920F3"/>
    <w:rsid w:val="0069217C"/>
    <w:rsid w:val="00692337"/>
    <w:rsid w:val="0069244B"/>
    <w:rsid w:val="006924D4"/>
    <w:rsid w:val="006925E6"/>
    <w:rsid w:val="0069271A"/>
    <w:rsid w:val="00692752"/>
    <w:rsid w:val="006928A4"/>
    <w:rsid w:val="00692F73"/>
    <w:rsid w:val="00693051"/>
    <w:rsid w:val="00693154"/>
    <w:rsid w:val="006931FF"/>
    <w:rsid w:val="0069334E"/>
    <w:rsid w:val="006935F5"/>
    <w:rsid w:val="0069372B"/>
    <w:rsid w:val="00693751"/>
    <w:rsid w:val="00693883"/>
    <w:rsid w:val="00693C1A"/>
    <w:rsid w:val="00694099"/>
    <w:rsid w:val="006944D3"/>
    <w:rsid w:val="006947C1"/>
    <w:rsid w:val="006948C5"/>
    <w:rsid w:val="00694A5D"/>
    <w:rsid w:val="00694BB6"/>
    <w:rsid w:val="00694C3E"/>
    <w:rsid w:val="00694FFF"/>
    <w:rsid w:val="0069517D"/>
    <w:rsid w:val="006957BA"/>
    <w:rsid w:val="006958C0"/>
    <w:rsid w:val="00695A39"/>
    <w:rsid w:val="00695AB9"/>
    <w:rsid w:val="00695F45"/>
    <w:rsid w:val="00695F59"/>
    <w:rsid w:val="00695F6A"/>
    <w:rsid w:val="006963C5"/>
    <w:rsid w:val="0069699C"/>
    <w:rsid w:val="006969B4"/>
    <w:rsid w:val="00696AEA"/>
    <w:rsid w:val="00696B7E"/>
    <w:rsid w:val="00696B8E"/>
    <w:rsid w:val="00696C1F"/>
    <w:rsid w:val="00696C39"/>
    <w:rsid w:val="00696E6B"/>
    <w:rsid w:val="00696EF8"/>
    <w:rsid w:val="006971F7"/>
    <w:rsid w:val="00697407"/>
    <w:rsid w:val="0069757C"/>
    <w:rsid w:val="00697617"/>
    <w:rsid w:val="006976B4"/>
    <w:rsid w:val="00697B47"/>
    <w:rsid w:val="00697DDC"/>
    <w:rsid w:val="00697DF4"/>
    <w:rsid w:val="00697EE3"/>
    <w:rsid w:val="006A0590"/>
    <w:rsid w:val="006A0DA3"/>
    <w:rsid w:val="006A1216"/>
    <w:rsid w:val="006A12F0"/>
    <w:rsid w:val="006A19B1"/>
    <w:rsid w:val="006A1A80"/>
    <w:rsid w:val="006A1CE7"/>
    <w:rsid w:val="006A1EC9"/>
    <w:rsid w:val="006A2305"/>
    <w:rsid w:val="006A26A3"/>
    <w:rsid w:val="006A2706"/>
    <w:rsid w:val="006A2797"/>
    <w:rsid w:val="006A2877"/>
    <w:rsid w:val="006A2AB6"/>
    <w:rsid w:val="006A2D53"/>
    <w:rsid w:val="006A2DD4"/>
    <w:rsid w:val="006A2EF3"/>
    <w:rsid w:val="006A32F1"/>
    <w:rsid w:val="006A33AD"/>
    <w:rsid w:val="006A3677"/>
    <w:rsid w:val="006A36FA"/>
    <w:rsid w:val="006A381A"/>
    <w:rsid w:val="006A3B16"/>
    <w:rsid w:val="006A3C1F"/>
    <w:rsid w:val="006A3E08"/>
    <w:rsid w:val="006A3FB3"/>
    <w:rsid w:val="006A449F"/>
    <w:rsid w:val="006A4506"/>
    <w:rsid w:val="006A45CC"/>
    <w:rsid w:val="006A4B73"/>
    <w:rsid w:val="006A4BD0"/>
    <w:rsid w:val="006A502A"/>
    <w:rsid w:val="006A540A"/>
    <w:rsid w:val="006A58B2"/>
    <w:rsid w:val="006A59E1"/>
    <w:rsid w:val="006A5A43"/>
    <w:rsid w:val="006A5BE5"/>
    <w:rsid w:val="006A5C0D"/>
    <w:rsid w:val="006A5CD3"/>
    <w:rsid w:val="006A5D79"/>
    <w:rsid w:val="006A5FE8"/>
    <w:rsid w:val="006A654A"/>
    <w:rsid w:val="006A66FD"/>
    <w:rsid w:val="006A699E"/>
    <w:rsid w:val="006A6B83"/>
    <w:rsid w:val="006A6EAC"/>
    <w:rsid w:val="006A754C"/>
    <w:rsid w:val="006A7804"/>
    <w:rsid w:val="006A7BFB"/>
    <w:rsid w:val="006A7C0B"/>
    <w:rsid w:val="006A7E55"/>
    <w:rsid w:val="006B0006"/>
    <w:rsid w:val="006B1192"/>
    <w:rsid w:val="006B1232"/>
    <w:rsid w:val="006B14C8"/>
    <w:rsid w:val="006B17D8"/>
    <w:rsid w:val="006B17FF"/>
    <w:rsid w:val="006B1E0D"/>
    <w:rsid w:val="006B1E88"/>
    <w:rsid w:val="006B21E3"/>
    <w:rsid w:val="006B2321"/>
    <w:rsid w:val="006B2499"/>
    <w:rsid w:val="006B2834"/>
    <w:rsid w:val="006B29BF"/>
    <w:rsid w:val="006B2A96"/>
    <w:rsid w:val="006B3014"/>
    <w:rsid w:val="006B30E5"/>
    <w:rsid w:val="006B3285"/>
    <w:rsid w:val="006B33D5"/>
    <w:rsid w:val="006B3533"/>
    <w:rsid w:val="006B38E1"/>
    <w:rsid w:val="006B3EAB"/>
    <w:rsid w:val="006B3EE7"/>
    <w:rsid w:val="006B3FAE"/>
    <w:rsid w:val="006B41A4"/>
    <w:rsid w:val="006B4241"/>
    <w:rsid w:val="006B4349"/>
    <w:rsid w:val="006B43AE"/>
    <w:rsid w:val="006B4699"/>
    <w:rsid w:val="006B4BA6"/>
    <w:rsid w:val="006B4E7B"/>
    <w:rsid w:val="006B50B5"/>
    <w:rsid w:val="006B52CF"/>
    <w:rsid w:val="006B576C"/>
    <w:rsid w:val="006B59B8"/>
    <w:rsid w:val="006B5C22"/>
    <w:rsid w:val="006B5D42"/>
    <w:rsid w:val="006B64D8"/>
    <w:rsid w:val="006B6661"/>
    <w:rsid w:val="006B674A"/>
    <w:rsid w:val="006B6873"/>
    <w:rsid w:val="006B695F"/>
    <w:rsid w:val="006B6C40"/>
    <w:rsid w:val="006B6C87"/>
    <w:rsid w:val="006B6CE0"/>
    <w:rsid w:val="006B6F89"/>
    <w:rsid w:val="006B7265"/>
    <w:rsid w:val="006B7397"/>
    <w:rsid w:val="006B7838"/>
    <w:rsid w:val="006B7841"/>
    <w:rsid w:val="006B7A83"/>
    <w:rsid w:val="006B7AED"/>
    <w:rsid w:val="006B7D3B"/>
    <w:rsid w:val="006C00E9"/>
    <w:rsid w:val="006C037F"/>
    <w:rsid w:val="006C09B9"/>
    <w:rsid w:val="006C0E90"/>
    <w:rsid w:val="006C135A"/>
    <w:rsid w:val="006C166E"/>
    <w:rsid w:val="006C1749"/>
    <w:rsid w:val="006C18C1"/>
    <w:rsid w:val="006C18EC"/>
    <w:rsid w:val="006C193A"/>
    <w:rsid w:val="006C1A80"/>
    <w:rsid w:val="006C1DB7"/>
    <w:rsid w:val="006C207C"/>
    <w:rsid w:val="006C2370"/>
    <w:rsid w:val="006C264E"/>
    <w:rsid w:val="006C267D"/>
    <w:rsid w:val="006C2B06"/>
    <w:rsid w:val="006C3201"/>
    <w:rsid w:val="006C3616"/>
    <w:rsid w:val="006C376D"/>
    <w:rsid w:val="006C3A9F"/>
    <w:rsid w:val="006C40B7"/>
    <w:rsid w:val="006C40E0"/>
    <w:rsid w:val="006C41FD"/>
    <w:rsid w:val="006C44F0"/>
    <w:rsid w:val="006C49A3"/>
    <w:rsid w:val="006C4C5C"/>
    <w:rsid w:val="006C4DF8"/>
    <w:rsid w:val="006C5007"/>
    <w:rsid w:val="006C5022"/>
    <w:rsid w:val="006C5040"/>
    <w:rsid w:val="006C5368"/>
    <w:rsid w:val="006C555C"/>
    <w:rsid w:val="006C5992"/>
    <w:rsid w:val="006C5B59"/>
    <w:rsid w:val="006C5C6F"/>
    <w:rsid w:val="006C5EA4"/>
    <w:rsid w:val="006C5F43"/>
    <w:rsid w:val="006C631F"/>
    <w:rsid w:val="006C677F"/>
    <w:rsid w:val="006C683B"/>
    <w:rsid w:val="006C70FF"/>
    <w:rsid w:val="006C759E"/>
    <w:rsid w:val="006C7742"/>
    <w:rsid w:val="006C7CF0"/>
    <w:rsid w:val="006D0520"/>
    <w:rsid w:val="006D0650"/>
    <w:rsid w:val="006D06EE"/>
    <w:rsid w:val="006D075D"/>
    <w:rsid w:val="006D0A77"/>
    <w:rsid w:val="006D0B5A"/>
    <w:rsid w:val="006D17D4"/>
    <w:rsid w:val="006D1B0E"/>
    <w:rsid w:val="006D2248"/>
    <w:rsid w:val="006D22EF"/>
    <w:rsid w:val="006D247B"/>
    <w:rsid w:val="006D2617"/>
    <w:rsid w:val="006D2719"/>
    <w:rsid w:val="006D3212"/>
    <w:rsid w:val="006D3526"/>
    <w:rsid w:val="006D3C4D"/>
    <w:rsid w:val="006D3E28"/>
    <w:rsid w:val="006D3FA2"/>
    <w:rsid w:val="006D462E"/>
    <w:rsid w:val="006D50C9"/>
    <w:rsid w:val="006D50E6"/>
    <w:rsid w:val="006D533B"/>
    <w:rsid w:val="006D5666"/>
    <w:rsid w:val="006D58EC"/>
    <w:rsid w:val="006D59EE"/>
    <w:rsid w:val="006D5B89"/>
    <w:rsid w:val="006D5BC9"/>
    <w:rsid w:val="006D60D7"/>
    <w:rsid w:val="006D6319"/>
    <w:rsid w:val="006D65C5"/>
    <w:rsid w:val="006D6689"/>
    <w:rsid w:val="006D6931"/>
    <w:rsid w:val="006D6BF9"/>
    <w:rsid w:val="006D6D63"/>
    <w:rsid w:val="006D6EEE"/>
    <w:rsid w:val="006D6FB8"/>
    <w:rsid w:val="006D70F9"/>
    <w:rsid w:val="006D7229"/>
    <w:rsid w:val="006D7451"/>
    <w:rsid w:val="006E0062"/>
    <w:rsid w:val="006E0145"/>
    <w:rsid w:val="006E01ED"/>
    <w:rsid w:val="006E05D6"/>
    <w:rsid w:val="006E05EA"/>
    <w:rsid w:val="006E081D"/>
    <w:rsid w:val="006E0DCB"/>
    <w:rsid w:val="006E1155"/>
    <w:rsid w:val="006E1384"/>
    <w:rsid w:val="006E1393"/>
    <w:rsid w:val="006E1534"/>
    <w:rsid w:val="006E19F0"/>
    <w:rsid w:val="006E1C07"/>
    <w:rsid w:val="006E1C19"/>
    <w:rsid w:val="006E1E35"/>
    <w:rsid w:val="006E200E"/>
    <w:rsid w:val="006E2506"/>
    <w:rsid w:val="006E2E7F"/>
    <w:rsid w:val="006E33B3"/>
    <w:rsid w:val="006E34C5"/>
    <w:rsid w:val="006E3796"/>
    <w:rsid w:val="006E37F4"/>
    <w:rsid w:val="006E385C"/>
    <w:rsid w:val="006E39D6"/>
    <w:rsid w:val="006E3F36"/>
    <w:rsid w:val="006E43E6"/>
    <w:rsid w:val="006E4590"/>
    <w:rsid w:val="006E4721"/>
    <w:rsid w:val="006E47D1"/>
    <w:rsid w:val="006E4A5F"/>
    <w:rsid w:val="006E4E1E"/>
    <w:rsid w:val="006E517E"/>
    <w:rsid w:val="006E568E"/>
    <w:rsid w:val="006E574B"/>
    <w:rsid w:val="006E5C45"/>
    <w:rsid w:val="006E602D"/>
    <w:rsid w:val="006E6205"/>
    <w:rsid w:val="006E6265"/>
    <w:rsid w:val="006E63DD"/>
    <w:rsid w:val="006E65E0"/>
    <w:rsid w:val="006E6CCC"/>
    <w:rsid w:val="006E7607"/>
    <w:rsid w:val="006E7660"/>
    <w:rsid w:val="006F01FF"/>
    <w:rsid w:val="006F03AD"/>
    <w:rsid w:val="006F057E"/>
    <w:rsid w:val="006F06E3"/>
    <w:rsid w:val="006F0766"/>
    <w:rsid w:val="006F07D8"/>
    <w:rsid w:val="006F09E5"/>
    <w:rsid w:val="006F0AFA"/>
    <w:rsid w:val="006F0D7B"/>
    <w:rsid w:val="006F0F79"/>
    <w:rsid w:val="006F1138"/>
    <w:rsid w:val="006F1206"/>
    <w:rsid w:val="006F1A17"/>
    <w:rsid w:val="006F1C0A"/>
    <w:rsid w:val="006F1DBE"/>
    <w:rsid w:val="006F1F39"/>
    <w:rsid w:val="006F20B7"/>
    <w:rsid w:val="006F22B8"/>
    <w:rsid w:val="006F2367"/>
    <w:rsid w:val="006F24AC"/>
    <w:rsid w:val="006F2AB0"/>
    <w:rsid w:val="006F2F02"/>
    <w:rsid w:val="006F3514"/>
    <w:rsid w:val="006F35D0"/>
    <w:rsid w:val="006F36A9"/>
    <w:rsid w:val="006F3B3B"/>
    <w:rsid w:val="006F3B49"/>
    <w:rsid w:val="006F3BB8"/>
    <w:rsid w:val="006F3CFD"/>
    <w:rsid w:val="006F401A"/>
    <w:rsid w:val="006F48F9"/>
    <w:rsid w:val="006F4D60"/>
    <w:rsid w:val="006F4DEE"/>
    <w:rsid w:val="006F5415"/>
    <w:rsid w:val="006F55AE"/>
    <w:rsid w:val="006F5701"/>
    <w:rsid w:val="006F5724"/>
    <w:rsid w:val="006F5975"/>
    <w:rsid w:val="006F5B70"/>
    <w:rsid w:val="006F5C71"/>
    <w:rsid w:val="006F674A"/>
    <w:rsid w:val="006F6A38"/>
    <w:rsid w:val="006F6B9C"/>
    <w:rsid w:val="006F72AD"/>
    <w:rsid w:val="006F72ED"/>
    <w:rsid w:val="006F73E8"/>
    <w:rsid w:val="006F73F5"/>
    <w:rsid w:val="006F76DB"/>
    <w:rsid w:val="006F76F8"/>
    <w:rsid w:val="006F7807"/>
    <w:rsid w:val="006F78AE"/>
    <w:rsid w:val="006F7C72"/>
    <w:rsid w:val="006F7D63"/>
    <w:rsid w:val="006F7D78"/>
    <w:rsid w:val="006F7DDB"/>
    <w:rsid w:val="006F7FA8"/>
    <w:rsid w:val="0070001C"/>
    <w:rsid w:val="007000B8"/>
    <w:rsid w:val="00700115"/>
    <w:rsid w:val="007005BC"/>
    <w:rsid w:val="00700745"/>
    <w:rsid w:val="007009BE"/>
    <w:rsid w:val="00700AC2"/>
    <w:rsid w:val="00701054"/>
    <w:rsid w:val="007010D8"/>
    <w:rsid w:val="0070150F"/>
    <w:rsid w:val="00701704"/>
    <w:rsid w:val="00701714"/>
    <w:rsid w:val="00701A27"/>
    <w:rsid w:val="00701C30"/>
    <w:rsid w:val="00701C3C"/>
    <w:rsid w:val="00701DFD"/>
    <w:rsid w:val="007021F4"/>
    <w:rsid w:val="00702620"/>
    <w:rsid w:val="00702811"/>
    <w:rsid w:val="00702C84"/>
    <w:rsid w:val="00702CE5"/>
    <w:rsid w:val="007030C4"/>
    <w:rsid w:val="007038DB"/>
    <w:rsid w:val="00703986"/>
    <w:rsid w:val="00703A14"/>
    <w:rsid w:val="00703B37"/>
    <w:rsid w:val="0070427B"/>
    <w:rsid w:val="00704352"/>
    <w:rsid w:val="00704388"/>
    <w:rsid w:val="00704421"/>
    <w:rsid w:val="007044A2"/>
    <w:rsid w:val="0070478A"/>
    <w:rsid w:val="0070499F"/>
    <w:rsid w:val="00704AEC"/>
    <w:rsid w:val="00704C77"/>
    <w:rsid w:val="007053CE"/>
    <w:rsid w:val="0070562A"/>
    <w:rsid w:val="00705BB8"/>
    <w:rsid w:val="00705FC5"/>
    <w:rsid w:val="00706033"/>
    <w:rsid w:val="00706125"/>
    <w:rsid w:val="00706553"/>
    <w:rsid w:val="0070666D"/>
    <w:rsid w:val="007066C3"/>
    <w:rsid w:val="00706739"/>
    <w:rsid w:val="00706928"/>
    <w:rsid w:val="00706CE3"/>
    <w:rsid w:val="00706E3B"/>
    <w:rsid w:val="007070D7"/>
    <w:rsid w:val="00707209"/>
    <w:rsid w:val="007078CE"/>
    <w:rsid w:val="00707E50"/>
    <w:rsid w:val="00707EF3"/>
    <w:rsid w:val="007100CC"/>
    <w:rsid w:val="007100D7"/>
    <w:rsid w:val="007105C5"/>
    <w:rsid w:val="007106E6"/>
    <w:rsid w:val="0071087B"/>
    <w:rsid w:val="00710979"/>
    <w:rsid w:val="0071097C"/>
    <w:rsid w:val="00710A78"/>
    <w:rsid w:val="00710AC2"/>
    <w:rsid w:val="00710B1B"/>
    <w:rsid w:val="00710C8E"/>
    <w:rsid w:val="00710E77"/>
    <w:rsid w:val="00710EBE"/>
    <w:rsid w:val="00710FCA"/>
    <w:rsid w:val="0071124E"/>
    <w:rsid w:val="007112A4"/>
    <w:rsid w:val="00711337"/>
    <w:rsid w:val="007114EF"/>
    <w:rsid w:val="0071156B"/>
    <w:rsid w:val="007119D9"/>
    <w:rsid w:val="00711BB2"/>
    <w:rsid w:val="007120B5"/>
    <w:rsid w:val="007124B3"/>
    <w:rsid w:val="00712607"/>
    <w:rsid w:val="00712721"/>
    <w:rsid w:val="00712B61"/>
    <w:rsid w:val="00712C0C"/>
    <w:rsid w:val="00713187"/>
    <w:rsid w:val="007135C7"/>
    <w:rsid w:val="007135EB"/>
    <w:rsid w:val="0071368A"/>
    <w:rsid w:val="0071393C"/>
    <w:rsid w:val="00713A00"/>
    <w:rsid w:val="00713EC9"/>
    <w:rsid w:val="00713F31"/>
    <w:rsid w:val="007142AB"/>
    <w:rsid w:val="007145E4"/>
    <w:rsid w:val="007146EA"/>
    <w:rsid w:val="00714DCC"/>
    <w:rsid w:val="00714E15"/>
    <w:rsid w:val="00714F9F"/>
    <w:rsid w:val="0071524F"/>
    <w:rsid w:val="00715564"/>
    <w:rsid w:val="00715587"/>
    <w:rsid w:val="007158E3"/>
    <w:rsid w:val="00715B97"/>
    <w:rsid w:val="00715ECB"/>
    <w:rsid w:val="0071634A"/>
    <w:rsid w:val="007163FA"/>
    <w:rsid w:val="007164E1"/>
    <w:rsid w:val="00716687"/>
    <w:rsid w:val="00716B0B"/>
    <w:rsid w:val="00717439"/>
    <w:rsid w:val="00717659"/>
    <w:rsid w:val="00717B7C"/>
    <w:rsid w:val="00717CB4"/>
    <w:rsid w:val="00720162"/>
    <w:rsid w:val="007204ED"/>
    <w:rsid w:val="00720B48"/>
    <w:rsid w:val="00721038"/>
    <w:rsid w:val="007210F2"/>
    <w:rsid w:val="00721973"/>
    <w:rsid w:val="00721E07"/>
    <w:rsid w:val="00721E63"/>
    <w:rsid w:val="007223FE"/>
    <w:rsid w:val="00722403"/>
    <w:rsid w:val="007224D2"/>
    <w:rsid w:val="00722678"/>
    <w:rsid w:val="007228DD"/>
    <w:rsid w:val="007228E9"/>
    <w:rsid w:val="00722A34"/>
    <w:rsid w:val="00722C22"/>
    <w:rsid w:val="00722F93"/>
    <w:rsid w:val="00723060"/>
    <w:rsid w:val="0072365F"/>
    <w:rsid w:val="007237E1"/>
    <w:rsid w:val="007239AA"/>
    <w:rsid w:val="00723A53"/>
    <w:rsid w:val="0072400F"/>
    <w:rsid w:val="007243C9"/>
    <w:rsid w:val="0072476B"/>
    <w:rsid w:val="007248BD"/>
    <w:rsid w:val="00724AA0"/>
    <w:rsid w:val="00724BA9"/>
    <w:rsid w:val="00724CF5"/>
    <w:rsid w:val="00724E70"/>
    <w:rsid w:val="00724F1D"/>
    <w:rsid w:val="00724FC3"/>
    <w:rsid w:val="007250D1"/>
    <w:rsid w:val="007251CC"/>
    <w:rsid w:val="00725809"/>
    <w:rsid w:val="00725A6E"/>
    <w:rsid w:val="00726099"/>
    <w:rsid w:val="00726201"/>
    <w:rsid w:val="007263E3"/>
    <w:rsid w:val="007266D8"/>
    <w:rsid w:val="00726829"/>
    <w:rsid w:val="00726AFD"/>
    <w:rsid w:val="00726C9B"/>
    <w:rsid w:val="00727602"/>
    <w:rsid w:val="00727815"/>
    <w:rsid w:val="007279B4"/>
    <w:rsid w:val="00727A47"/>
    <w:rsid w:val="00727ADD"/>
    <w:rsid w:val="00730350"/>
    <w:rsid w:val="007307CA"/>
    <w:rsid w:val="0073090C"/>
    <w:rsid w:val="00730B6C"/>
    <w:rsid w:val="00730DE1"/>
    <w:rsid w:val="00731E2F"/>
    <w:rsid w:val="00732178"/>
    <w:rsid w:val="0073251B"/>
    <w:rsid w:val="00732715"/>
    <w:rsid w:val="00732F2E"/>
    <w:rsid w:val="007330C7"/>
    <w:rsid w:val="00733F0C"/>
    <w:rsid w:val="00733FAC"/>
    <w:rsid w:val="0073420E"/>
    <w:rsid w:val="007342E8"/>
    <w:rsid w:val="00734442"/>
    <w:rsid w:val="0073485C"/>
    <w:rsid w:val="00734AF8"/>
    <w:rsid w:val="00734CD5"/>
    <w:rsid w:val="0073502A"/>
    <w:rsid w:val="0073537B"/>
    <w:rsid w:val="0073596B"/>
    <w:rsid w:val="007359D0"/>
    <w:rsid w:val="00735BE4"/>
    <w:rsid w:val="00735D6D"/>
    <w:rsid w:val="00736366"/>
    <w:rsid w:val="00736ABA"/>
    <w:rsid w:val="00736AF8"/>
    <w:rsid w:val="00736CB9"/>
    <w:rsid w:val="00737332"/>
    <w:rsid w:val="00737B0A"/>
    <w:rsid w:val="00737FA7"/>
    <w:rsid w:val="0074056B"/>
    <w:rsid w:val="007409CF"/>
    <w:rsid w:val="00740AF1"/>
    <w:rsid w:val="00740E1D"/>
    <w:rsid w:val="00740EF5"/>
    <w:rsid w:val="007414A1"/>
    <w:rsid w:val="007416DC"/>
    <w:rsid w:val="0074181F"/>
    <w:rsid w:val="007418D0"/>
    <w:rsid w:val="00741922"/>
    <w:rsid w:val="00741935"/>
    <w:rsid w:val="00741A30"/>
    <w:rsid w:val="00741D16"/>
    <w:rsid w:val="007420A6"/>
    <w:rsid w:val="0074275B"/>
    <w:rsid w:val="00742BA1"/>
    <w:rsid w:val="00742E2E"/>
    <w:rsid w:val="007434B0"/>
    <w:rsid w:val="007436FE"/>
    <w:rsid w:val="00743804"/>
    <w:rsid w:val="00743A83"/>
    <w:rsid w:val="00743AE8"/>
    <w:rsid w:val="00743C28"/>
    <w:rsid w:val="00743C6D"/>
    <w:rsid w:val="00743E70"/>
    <w:rsid w:val="00743F2C"/>
    <w:rsid w:val="007440D9"/>
    <w:rsid w:val="007441FE"/>
    <w:rsid w:val="00744423"/>
    <w:rsid w:val="007446E6"/>
    <w:rsid w:val="0074473A"/>
    <w:rsid w:val="00744B01"/>
    <w:rsid w:val="00745089"/>
    <w:rsid w:val="00745395"/>
    <w:rsid w:val="007453C6"/>
    <w:rsid w:val="007454DF"/>
    <w:rsid w:val="0074552D"/>
    <w:rsid w:val="00745613"/>
    <w:rsid w:val="00745636"/>
    <w:rsid w:val="00745A33"/>
    <w:rsid w:val="00745AE3"/>
    <w:rsid w:val="00746284"/>
    <w:rsid w:val="00746373"/>
    <w:rsid w:val="007464CB"/>
    <w:rsid w:val="007464E1"/>
    <w:rsid w:val="007466A3"/>
    <w:rsid w:val="00746821"/>
    <w:rsid w:val="00746AB8"/>
    <w:rsid w:val="00746FD7"/>
    <w:rsid w:val="00747058"/>
    <w:rsid w:val="00747133"/>
    <w:rsid w:val="00747275"/>
    <w:rsid w:val="00747495"/>
    <w:rsid w:val="00747A04"/>
    <w:rsid w:val="00747C4A"/>
    <w:rsid w:val="00747C7D"/>
    <w:rsid w:val="00747F52"/>
    <w:rsid w:val="0075009E"/>
    <w:rsid w:val="00750595"/>
    <w:rsid w:val="0075071D"/>
    <w:rsid w:val="00750A05"/>
    <w:rsid w:val="00750B52"/>
    <w:rsid w:val="00750BAA"/>
    <w:rsid w:val="00751182"/>
    <w:rsid w:val="007511AA"/>
    <w:rsid w:val="0075168A"/>
    <w:rsid w:val="007516D4"/>
    <w:rsid w:val="0075175F"/>
    <w:rsid w:val="007518E9"/>
    <w:rsid w:val="00751C4C"/>
    <w:rsid w:val="00752670"/>
    <w:rsid w:val="007527D4"/>
    <w:rsid w:val="00752AB0"/>
    <w:rsid w:val="00752B07"/>
    <w:rsid w:val="00752D8E"/>
    <w:rsid w:val="00752F15"/>
    <w:rsid w:val="00752F5E"/>
    <w:rsid w:val="00753069"/>
    <w:rsid w:val="00753289"/>
    <w:rsid w:val="0075364F"/>
    <w:rsid w:val="00753672"/>
    <w:rsid w:val="00753B62"/>
    <w:rsid w:val="00753F57"/>
    <w:rsid w:val="00754315"/>
    <w:rsid w:val="00754465"/>
    <w:rsid w:val="00754873"/>
    <w:rsid w:val="00754FBA"/>
    <w:rsid w:val="00755030"/>
    <w:rsid w:val="0075508B"/>
    <w:rsid w:val="007551BE"/>
    <w:rsid w:val="0075529E"/>
    <w:rsid w:val="00755698"/>
    <w:rsid w:val="0075584D"/>
    <w:rsid w:val="00755D88"/>
    <w:rsid w:val="00756048"/>
    <w:rsid w:val="007560F3"/>
    <w:rsid w:val="0075610B"/>
    <w:rsid w:val="0075620B"/>
    <w:rsid w:val="00756270"/>
    <w:rsid w:val="007569E4"/>
    <w:rsid w:val="00756B98"/>
    <w:rsid w:val="00756D86"/>
    <w:rsid w:val="00756E1F"/>
    <w:rsid w:val="00756F35"/>
    <w:rsid w:val="00756FE4"/>
    <w:rsid w:val="00756FF2"/>
    <w:rsid w:val="0075746B"/>
    <w:rsid w:val="0075752E"/>
    <w:rsid w:val="0075757E"/>
    <w:rsid w:val="00757916"/>
    <w:rsid w:val="007604CD"/>
    <w:rsid w:val="007607F1"/>
    <w:rsid w:val="007607F6"/>
    <w:rsid w:val="007608BC"/>
    <w:rsid w:val="00760BFC"/>
    <w:rsid w:val="00760DAF"/>
    <w:rsid w:val="00761218"/>
    <w:rsid w:val="0076157E"/>
    <w:rsid w:val="007615CC"/>
    <w:rsid w:val="00761618"/>
    <w:rsid w:val="00761D60"/>
    <w:rsid w:val="00761F6C"/>
    <w:rsid w:val="00762151"/>
    <w:rsid w:val="00762459"/>
    <w:rsid w:val="0076256B"/>
    <w:rsid w:val="00762913"/>
    <w:rsid w:val="00762E3A"/>
    <w:rsid w:val="00763129"/>
    <w:rsid w:val="007631EB"/>
    <w:rsid w:val="0076324A"/>
    <w:rsid w:val="0076338C"/>
    <w:rsid w:val="00763AAD"/>
    <w:rsid w:val="00763D96"/>
    <w:rsid w:val="00763DAD"/>
    <w:rsid w:val="00763EDF"/>
    <w:rsid w:val="00764183"/>
    <w:rsid w:val="0076436D"/>
    <w:rsid w:val="007643AE"/>
    <w:rsid w:val="00764CBC"/>
    <w:rsid w:val="00764D00"/>
    <w:rsid w:val="00764D7C"/>
    <w:rsid w:val="00765251"/>
    <w:rsid w:val="007652B9"/>
    <w:rsid w:val="00765434"/>
    <w:rsid w:val="007654E9"/>
    <w:rsid w:val="007656C2"/>
    <w:rsid w:val="007656E4"/>
    <w:rsid w:val="007658D7"/>
    <w:rsid w:val="00765A4B"/>
    <w:rsid w:val="00765B6C"/>
    <w:rsid w:val="00765CBB"/>
    <w:rsid w:val="00765CE0"/>
    <w:rsid w:val="00766020"/>
    <w:rsid w:val="0076711A"/>
    <w:rsid w:val="00767498"/>
    <w:rsid w:val="00767510"/>
    <w:rsid w:val="00767625"/>
    <w:rsid w:val="0076784E"/>
    <w:rsid w:val="00767994"/>
    <w:rsid w:val="00770150"/>
    <w:rsid w:val="007701B4"/>
    <w:rsid w:val="007701F5"/>
    <w:rsid w:val="007705B5"/>
    <w:rsid w:val="00770A02"/>
    <w:rsid w:val="00770A82"/>
    <w:rsid w:val="00770AB1"/>
    <w:rsid w:val="00770AFD"/>
    <w:rsid w:val="00770F28"/>
    <w:rsid w:val="00771179"/>
    <w:rsid w:val="00771184"/>
    <w:rsid w:val="0077120C"/>
    <w:rsid w:val="00771269"/>
    <w:rsid w:val="0077131B"/>
    <w:rsid w:val="00771482"/>
    <w:rsid w:val="00771971"/>
    <w:rsid w:val="00771ACD"/>
    <w:rsid w:val="00771BE9"/>
    <w:rsid w:val="00771CD3"/>
    <w:rsid w:val="00771D8D"/>
    <w:rsid w:val="00771DE6"/>
    <w:rsid w:val="00771DF8"/>
    <w:rsid w:val="00771FF7"/>
    <w:rsid w:val="0077234C"/>
    <w:rsid w:val="0077236C"/>
    <w:rsid w:val="0077277C"/>
    <w:rsid w:val="00772790"/>
    <w:rsid w:val="00772865"/>
    <w:rsid w:val="007728C8"/>
    <w:rsid w:val="007729CD"/>
    <w:rsid w:val="00772B98"/>
    <w:rsid w:val="00772FB4"/>
    <w:rsid w:val="00773551"/>
    <w:rsid w:val="0077370B"/>
    <w:rsid w:val="00773A1C"/>
    <w:rsid w:val="00773BD0"/>
    <w:rsid w:val="00774060"/>
    <w:rsid w:val="00774538"/>
    <w:rsid w:val="007746B9"/>
    <w:rsid w:val="00774711"/>
    <w:rsid w:val="007749F9"/>
    <w:rsid w:val="00774ACF"/>
    <w:rsid w:val="00774B77"/>
    <w:rsid w:val="00774E2D"/>
    <w:rsid w:val="007751CF"/>
    <w:rsid w:val="007756C8"/>
    <w:rsid w:val="0077580F"/>
    <w:rsid w:val="0077585A"/>
    <w:rsid w:val="00775DDE"/>
    <w:rsid w:val="007761FE"/>
    <w:rsid w:val="0077620C"/>
    <w:rsid w:val="00776294"/>
    <w:rsid w:val="007762D8"/>
    <w:rsid w:val="007769C0"/>
    <w:rsid w:val="00776A83"/>
    <w:rsid w:val="00776B75"/>
    <w:rsid w:val="0077706C"/>
    <w:rsid w:val="007776F7"/>
    <w:rsid w:val="00777908"/>
    <w:rsid w:val="00777972"/>
    <w:rsid w:val="00777CBF"/>
    <w:rsid w:val="00777EBE"/>
    <w:rsid w:val="007800FD"/>
    <w:rsid w:val="00780134"/>
    <w:rsid w:val="007802FD"/>
    <w:rsid w:val="007803BA"/>
    <w:rsid w:val="00780422"/>
    <w:rsid w:val="00780647"/>
    <w:rsid w:val="00780676"/>
    <w:rsid w:val="0078081B"/>
    <w:rsid w:val="00780892"/>
    <w:rsid w:val="00780895"/>
    <w:rsid w:val="00780D23"/>
    <w:rsid w:val="0078103A"/>
    <w:rsid w:val="0078109F"/>
    <w:rsid w:val="00781AC7"/>
    <w:rsid w:val="00782080"/>
    <w:rsid w:val="00782433"/>
    <w:rsid w:val="00782780"/>
    <w:rsid w:val="00782784"/>
    <w:rsid w:val="00782903"/>
    <w:rsid w:val="00782947"/>
    <w:rsid w:val="00782AF3"/>
    <w:rsid w:val="00782D69"/>
    <w:rsid w:val="00782E2A"/>
    <w:rsid w:val="00783188"/>
    <w:rsid w:val="00783483"/>
    <w:rsid w:val="007835A8"/>
    <w:rsid w:val="00783708"/>
    <w:rsid w:val="007837C6"/>
    <w:rsid w:val="0078398E"/>
    <w:rsid w:val="00783B61"/>
    <w:rsid w:val="00783C10"/>
    <w:rsid w:val="00783CE9"/>
    <w:rsid w:val="007840F3"/>
    <w:rsid w:val="00784525"/>
    <w:rsid w:val="0078459E"/>
    <w:rsid w:val="00784721"/>
    <w:rsid w:val="007847D3"/>
    <w:rsid w:val="00785CD1"/>
    <w:rsid w:val="00785EBB"/>
    <w:rsid w:val="00785FD8"/>
    <w:rsid w:val="007860EC"/>
    <w:rsid w:val="0078626A"/>
    <w:rsid w:val="00786436"/>
    <w:rsid w:val="00786AE3"/>
    <w:rsid w:val="0078710C"/>
    <w:rsid w:val="0078723C"/>
    <w:rsid w:val="00787291"/>
    <w:rsid w:val="007872A3"/>
    <w:rsid w:val="0078771E"/>
    <w:rsid w:val="00787962"/>
    <w:rsid w:val="00787B56"/>
    <w:rsid w:val="00787DA8"/>
    <w:rsid w:val="007900C8"/>
    <w:rsid w:val="0079012A"/>
    <w:rsid w:val="0079014B"/>
    <w:rsid w:val="00790348"/>
    <w:rsid w:val="00790653"/>
    <w:rsid w:val="00790AA9"/>
    <w:rsid w:val="00790B04"/>
    <w:rsid w:val="00790B11"/>
    <w:rsid w:val="00790D8B"/>
    <w:rsid w:val="00790E8F"/>
    <w:rsid w:val="00790FDC"/>
    <w:rsid w:val="00790FE9"/>
    <w:rsid w:val="0079109D"/>
    <w:rsid w:val="007911E5"/>
    <w:rsid w:val="0079149F"/>
    <w:rsid w:val="007919D5"/>
    <w:rsid w:val="00791B93"/>
    <w:rsid w:val="00791E23"/>
    <w:rsid w:val="007922BC"/>
    <w:rsid w:val="007922F1"/>
    <w:rsid w:val="007923B6"/>
    <w:rsid w:val="0079268F"/>
    <w:rsid w:val="00792D73"/>
    <w:rsid w:val="00792FA2"/>
    <w:rsid w:val="00793109"/>
    <w:rsid w:val="0079326E"/>
    <w:rsid w:val="00793D2F"/>
    <w:rsid w:val="00793F8F"/>
    <w:rsid w:val="00794187"/>
    <w:rsid w:val="0079425D"/>
    <w:rsid w:val="00794741"/>
    <w:rsid w:val="007947F0"/>
    <w:rsid w:val="00794927"/>
    <w:rsid w:val="00794988"/>
    <w:rsid w:val="00794F32"/>
    <w:rsid w:val="00795004"/>
    <w:rsid w:val="00795009"/>
    <w:rsid w:val="007950EB"/>
    <w:rsid w:val="00795465"/>
    <w:rsid w:val="00795765"/>
    <w:rsid w:val="007958E3"/>
    <w:rsid w:val="00795984"/>
    <w:rsid w:val="00795B08"/>
    <w:rsid w:val="00795CA4"/>
    <w:rsid w:val="00795F89"/>
    <w:rsid w:val="00796078"/>
    <w:rsid w:val="00796103"/>
    <w:rsid w:val="007961BB"/>
    <w:rsid w:val="00796238"/>
    <w:rsid w:val="007963BD"/>
    <w:rsid w:val="00796411"/>
    <w:rsid w:val="0079668A"/>
    <w:rsid w:val="007966C0"/>
    <w:rsid w:val="00796A08"/>
    <w:rsid w:val="00796A51"/>
    <w:rsid w:val="00796B93"/>
    <w:rsid w:val="00796FEA"/>
    <w:rsid w:val="00797147"/>
    <w:rsid w:val="00797500"/>
    <w:rsid w:val="007976B3"/>
    <w:rsid w:val="00797732"/>
    <w:rsid w:val="0079780D"/>
    <w:rsid w:val="00797A98"/>
    <w:rsid w:val="007A0274"/>
    <w:rsid w:val="007A03BE"/>
    <w:rsid w:val="007A148A"/>
    <w:rsid w:val="007A15DF"/>
    <w:rsid w:val="007A16BF"/>
    <w:rsid w:val="007A17A0"/>
    <w:rsid w:val="007A194E"/>
    <w:rsid w:val="007A1B64"/>
    <w:rsid w:val="007A1ECD"/>
    <w:rsid w:val="007A2092"/>
    <w:rsid w:val="007A2371"/>
    <w:rsid w:val="007A2778"/>
    <w:rsid w:val="007A305F"/>
    <w:rsid w:val="007A3336"/>
    <w:rsid w:val="007A393E"/>
    <w:rsid w:val="007A3BF4"/>
    <w:rsid w:val="007A3CEB"/>
    <w:rsid w:val="007A3DFA"/>
    <w:rsid w:val="007A3E66"/>
    <w:rsid w:val="007A3F31"/>
    <w:rsid w:val="007A3FD8"/>
    <w:rsid w:val="007A400F"/>
    <w:rsid w:val="007A4170"/>
    <w:rsid w:val="007A46FE"/>
    <w:rsid w:val="007A4741"/>
    <w:rsid w:val="007A4AD0"/>
    <w:rsid w:val="007A52FB"/>
    <w:rsid w:val="007A57DA"/>
    <w:rsid w:val="007A5B6C"/>
    <w:rsid w:val="007A6412"/>
    <w:rsid w:val="007A669B"/>
    <w:rsid w:val="007A69A1"/>
    <w:rsid w:val="007A6E0D"/>
    <w:rsid w:val="007A72CD"/>
    <w:rsid w:val="007A7330"/>
    <w:rsid w:val="007A7A18"/>
    <w:rsid w:val="007A7BE8"/>
    <w:rsid w:val="007B00F6"/>
    <w:rsid w:val="007B0180"/>
    <w:rsid w:val="007B0AE0"/>
    <w:rsid w:val="007B0B9D"/>
    <w:rsid w:val="007B0DBE"/>
    <w:rsid w:val="007B0F69"/>
    <w:rsid w:val="007B1159"/>
    <w:rsid w:val="007B12B0"/>
    <w:rsid w:val="007B130B"/>
    <w:rsid w:val="007B1DE6"/>
    <w:rsid w:val="007B1E68"/>
    <w:rsid w:val="007B1FA2"/>
    <w:rsid w:val="007B2134"/>
    <w:rsid w:val="007B2488"/>
    <w:rsid w:val="007B2741"/>
    <w:rsid w:val="007B2940"/>
    <w:rsid w:val="007B2C0B"/>
    <w:rsid w:val="007B365D"/>
    <w:rsid w:val="007B3AD7"/>
    <w:rsid w:val="007B3CD6"/>
    <w:rsid w:val="007B3D1B"/>
    <w:rsid w:val="007B3DA4"/>
    <w:rsid w:val="007B407D"/>
    <w:rsid w:val="007B4217"/>
    <w:rsid w:val="007B467F"/>
    <w:rsid w:val="007B499B"/>
    <w:rsid w:val="007B4BEF"/>
    <w:rsid w:val="007B4C60"/>
    <w:rsid w:val="007B4C80"/>
    <w:rsid w:val="007B4D24"/>
    <w:rsid w:val="007B4F09"/>
    <w:rsid w:val="007B4F37"/>
    <w:rsid w:val="007B5362"/>
    <w:rsid w:val="007B56B5"/>
    <w:rsid w:val="007B59ED"/>
    <w:rsid w:val="007B5A49"/>
    <w:rsid w:val="007B5DC1"/>
    <w:rsid w:val="007B5F24"/>
    <w:rsid w:val="007B6118"/>
    <w:rsid w:val="007B6373"/>
    <w:rsid w:val="007B6B58"/>
    <w:rsid w:val="007B6BE7"/>
    <w:rsid w:val="007B6C59"/>
    <w:rsid w:val="007B719E"/>
    <w:rsid w:val="007B73C9"/>
    <w:rsid w:val="007B755D"/>
    <w:rsid w:val="007B7796"/>
    <w:rsid w:val="007B77AA"/>
    <w:rsid w:val="007B7FE3"/>
    <w:rsid w:val="007C0631"/>
    <w:rsid w:val="007C07DA"/>
    <w:rsid w:val="007C0C66"/>
    <w:rsid w:val="007C0C87"/>
    <w:rsid w:val="007C0E6D"/>
    <w:rsid w:val="007C1093"/>
    <w:rsid w:val="007C1541"/>
    <w:rsid w:val="007C1750"/>
    <w:rsid w:val="007C1A34"/>
    <w:rsid w:val="007C1BAB"/>
    <w:rsid w:val="007C1C4F"/>
    <w:rsid w:val="007C2209"/>
    <w:rsid w:val="007C240A"/>
    <w:rsid w:val="007C245B"/>
    <w:rsid w:val="007C29E1"/>
    <w:rsid w:val="007C2B4D"/>
    <w:rsid w:val="007C2B64"/>
    <w:rsid w:val="007C2CC7"/>
    <w:rsid w:val="007C2F1A"/>
    <w:rsid w:val="007C3204"/>
    <w:rsid w:val="007C3211"/>
    <w:rsid w:val="007C344D"/>
    <w:rsid w:val="007C3724"/>
    <w:rsid w:val="007C39DA"/>
    <w:rsid w:val="007C3A2C"/>
    <w:rsid w:val="007C3A8C"/>
    <w:rsid w:val="007C3CF9"/>
    <w:rsid w:val="007C3EFF"/>
    <w:rsid w:val="007C4364"/>
    <w:rsid w:val="007C4640"/>
    <w:rsid w:val="007C4849"/>
    <w:rsid w:val="007C5100"/>
    <w:rsid w:val="007C5549"/>
    <w:rsid w:val="007C5848"/>
    <w:rsid w:val="007C58F2"/>
    <w:rsid w:val="007C5BA3"/>
    <w:rsid w:val="007C5DEE"/>
    <w:rsid w:val="007C5DF0"/>
    <w:rsid w:val="007C5FFD"/>
    <w:rsid w:val="007C60E2"/>
    <w:rsid w:val="007C69AD"/>
    <w:rsid w:val="007C6C22"/>
    <w:rsid w:val="007C6DD5"/>
    <w:rsid w:val="007C6E32"/>
    <w:rsid w:val="007C6EEF"/>
    <w:rsid w:val="007C6F89"/>
    <w:rsid w:val="007C702F"/>
    <w:rsid w:val="007C7031"/>
    <w:rsid w:val="007C7395"/>
    <w:rsid w:val="007C75F3"/>
    <w:rsid w:val="007D00F8"/>
    <w:rsid w:val="007D03C1"/>
    <w:rsid w:val="007D0514"/>
    <w:rsid w:val="007D0615"/>
    <w:rsid w:val="007D06E4"/>
    <w:rsid w:val="007D07E1"/>
    <w:rsid w:val="007D0E17"/>
    <w:rsid w:val="007D0F10"/>
    <w:rsid w:val="007D0FE5"/>
    <w:rsid w:val="007D11CC"/>
    <w:rsid w:val="007D1361"/>
    <w:rsid w:val="007D1416"/>
    <w:rsid w:val="007D1502"/>
    <w:rsid w:val="007D1616"/>
    <w:rsid w:val="007D18FB"/>
    <w:rsid w:val="007D1B32"/>
    <w:rsid w:val="007D1CC9"/>
    <w:rsid w:val="007D1DD6"/>
    <w:rsid w:val="007D1F7B"/>
    <w:rsid w:val="007D281B"/>
    <w:rsid w:val="007D2A29"/>
    <w:rsid w:val="007D2C26"/>
    <w:rsid w:val="007D2D75"/>
    <w:rsid w:val="007D3469"/>
    <w:rsid w:val="007D3732"/>
    <w:rsid w:val="007D379B"/>
    <w:rsid w:val="007D3B0D"/>
    <w:rsid w:val="007D3D54"/>
    <w:rsid w:val="007D3E90"/>
    <w:rsid w:val="007D4176"/>
    <w:rsid w:val="007D43EA"/>
    <w:rsid w:val="007D43F2"/>
    <w:rsid w:val="007D4769"/>
    <w:rsid w:val="007D482E"/>
    <w:rsid w:val="007D4905"/>
    <w:rsid w:val="007D4A09"/>
    <w:rsid w:val="007D4E28"/>
    <w:rsid w:val="007D4F2A"/>
    <w:rsid w:val="007D51BF"/>
    <w:rsid w:val="007D55BA"/>
    <w:rsid w:val="007D5AC9"/>
    <w:rsid w:val="007D5DCB"/>
    <w:rsid w:val="007D5F2B"/>
    <w:rsid w:val="007D6D39"/>
    <w:rsid w:val="007D6FEE"/>
    <w:rsid w:val="007D7356"/>
    <w:rsid w:val="007D78FF"/>
    <w:rsid w:val="007D7F5D"/>
    <w:rsid w:val="007D7F79"/>
    <w:rsid w:val="007E0051"/>
    <w:rsid w:val="007E00C4"/>
    <w:rsid w:val="007E0627"/>
    <w:rsid w:val="007E080F"/>
    <w:rsid w:val="007E0840"/>
    <w:rsid w:val="007E092A"/>
    <w:rsid w:val="007E0A88"/>
    <w:rsid w:val="007E0C08"/>
    <w:rsid w:val="007E1060"/>
    <w:rsid w:val="007E1077"/>
    <w:rsid w:val="007E12A9"/>
    <w:rsid w:val="007E1418"/>
    <w:rsid w:val="007E15AA"/>
    <w:rsid w:val="007E15B1"/>
    <w:rsid w:val="007E1661"/>
    <w:rsid w:val="007E1F06"/>
    <w:rsid w:val="007E22F0"/>
    <w:rsid w:val="007E240D"/>
    <w:rsid w:val="007E2423"/>
    <w:rsid w:val="007E29FE"/>
    <w:rsid w:val="007E2F2C"/>
    <w:rsid w:val="007E2FEA"/>
    <w:rsid w:val="007E2FEF"/>
    <w:rsid w:val="007E31C4"/>
    <w:rsid w:val="007E32FF"/>
    <w:rsid w:val="007E36F1"/>
    <w:rsid w:val="007E39BF"/>
    <w:rsid w:val="007E3B21"/>
    <w:rsid w:val="007E3B32"/>
    <w:rsid w:val="007E3DEC"/>
    <w:rsid w:val="007E3E28"/>
    <w:rsid w:val="007E4240"/>
    <w:rsid w:val="007E4269"/>
    <w:rsid w:val="007E434D"/>
    <w:rsid w:val="007E4360"/>
    <w:rsid w:val="007E45BF"/>
    <w:rsid w:val="007E45D7"/>
    <w:rsid w:val="007E499B"/>
    <w:rsid w:val="007E4AE2"/>
    <w:rsid w:val="007E4EB2"/>
    <w:rsid w:val="007E506E"/>
    <w:rsid w:val="007E50C9"/>
    <w:rsid w:val="007E5651"/>
    <w:rsid w:val="007E591F"/>
    <w:rsid w:val="007E5925"/>
    <w:rsid w:val="007E5B2E"/>
    <w:rsid w:val="007E5B3A"/>
    <w:rsid w:val="007E5B4F"/>
    <w:rsid w:val="007E5D45"/>
    <w:rsid w:val="007E5D99"/>
    <w:rsid w:val="007E5E00"/>
    <w:rsid w:val="007E5E98"/>
    <w:rsid w:val="007E63FF"/>
    <w:rsid w:val="007E65A4"/>
    <w:rsid w:val="007E65B8"/>
    <w:rsid w:val="007E6605"/>
    <w:rsid w:val="007E76F4"/>
    <w:rsid w:val="007E77D7"/>
    <w:rsid w:val="007E7B32"/>
    <w:rsid w:val="007E7CDA"/>
    <w:rsid w:val="007E7F78"/>
    <w:rsid w:val="007F01E9"/>
    <w:rsid w:val="007F0326"/>
    <w:rsid w:val="007F05BD"/>
    <w:rsid w:val="007F09C3"/>
    <w:rsid w:val="007F0C7A"/>
    <w:rsid w:val="007F0CD0"/>
    <w:rsid w:val="007F0E8D"/>
    <w:rsid w:val="007F1108"/>
    <w:rsid w:val="007F117A"/>
    <w:rsid w:val="007F142D"/>
    <w:rsid w:val="007F1785"/>
    <w:rsid w:val="007F182F"/>
    <w:rsid w:val="007F1F2C"/>
    <w:rsid w:val="007F25C6"/>
    <w:rsid w:val="007F28CE"/>
    <w:rsid w:val="007F2ACB"/>
    <w:rsid w:val="007F2B76"/>
    <w:rsid w:val="007F2E61"/>
    <w:rsid w:val="007F2FEC"/>
    <w:rsid w:val="007F32DE"/>
    <w:rsid w:val="007F3550"/>
    <w:rsid w:val="007F3664"/>
    <w:rsid w:val="007F3B57"/>
    <w:rsid w:val="007F3EE1"/>
    <w:rsid w:val="007F3F88"/>
    <w:rsid w:val="007F407E"/>
    <w:rsid w:val="007F44FA"/>
    <w:rsid w:val="007F4721"/>
    <w:rsid w:val="007F4745"/>
    <w:rsid w:val="007F4DD5"/>
    <w:rsid w:val="007F5780"/>
    <w:rsid w:val="007F6D57"/>
    <w:rsid w:val="007F6D79"/>
    <w:rsid w:val="007F6E4F"/>
    <w:rsid w:val="007F771E"/>
    <w:rsid w:val="007F7A6C"/>
    <w:rsid w:val="007F7B38"/>
    <w:rsid w:val="007F7C1C"/>
    <w:rsid w:val="007F7D09"/>
    <w:rsid w:val="007F7E09"/>
    <w:rsid w:val="007F7F4C"/>
    <w:rsid w:val="007F7F8D"/>
    <w:rsid w:val="0080002D"/>
    <w:rsid w:val="0080007E"/>
    <w:rsid w:val="0080076F"/>
    <w:rsid w:val="00800DEB"/>
    <w:rsid w:val="00800E65"/>
    <w:rsid w:val="00800F9C"/>
    <w:rsid w:val="00801554"/>
    <w:rsid w:val="00801593"/>
    <w:rsid w:val="00801771"/>
    <w:rsid w:val="00801891"/>
    <w:rsid w:val="008019AC"/>
    <w:rsid w:val="00801B71"/>
    <w:rsid w:val="00801F14"/>
    <w:rsid w:val="008029EB"/>
    <w:rsid w:val="00802C81"/>
    <w:rsid w:val="00802E31"/>
    <w:rsid w:val="00802FB6"/>
    <w:rsid w:val="008030F3"/>
    <w:rsid w:val="00803112"/>
    <w:rsid w:val="00803325"/>
    <w:rsid w:val="0080332A"/>
    <w:rsid w:val="0080353A"/>
    <w:rsid w:val="008037F1"/>
    <w:rsid w:val="00803C71"/>
    <w:rsid w:val="00804307"/>
    <w:rsid w:val="008043E1"/>
    <w:rsid w:val="00804AE1"/>
    <w:rsid w:val="00804B8F"/>
    <w:rsid w:val="00804D4F"/>
    <w:rsid w:val="0080512C"/>
    <w:rsid w:val="00805339"/>
    <w:rsid w:val="00805866"/>
    <w:rsid w:val="008058F6"/>
    <w:rsid w:val="00805AB9"/>
    <w:rsid w:val="00805E00"/>
    <w:rsid w:val="008061A0"/>
    <w:rsid w:val="008061E3"/>
    <w:rsid w:val="00806323"/>
    <w:rsid w:val="008063C6"/>
    <w:rsid w:val="0080640A"/>
    <w:rsid w:val="00806812"/>
    <w:rsid w:val="0080684A"/>
    <w:rsid w:val="00806FB6"/>
    <w:rsid w:val="008070EF"/>
    <w:rsid w:val="008073B0"/>
    <w:rsid w:val="008074D8"/>
    <w:rsid w:val="008075A5"/>
    <w:rsid w:val="008075FC"/>
    <w:rsid w:val="008078B2"/>
    <w:rsid w:val="00807A0A"/>
    <w:rsid w:val="00807FE1"/>
    <w:rsid w:val="00810237"/>
    <w:rsid w:val="00810821"/>
    <w:rsid w:val="00810AF4"/>
    <w:rsid w:val="00810C3D"/>
    <w:rsid w:val="00810CDE"/>
    <w:rsid w:val="00810FD7"/>
    <w:rsid w:val="00811194"/>
    <w:rsid w:val="008116DE"/>
    <w:rsid w:val="00811BD7"/>
    <w:rsid w:val="00811C5F"/>
    <w:rsid w:val="00811D69"/>
    <w:rsid w:val="00812224"/>
    <w:rsid w:val="00812252"/>
    <w:rsid w:val="00812352"/>
    <w:rsid w:val="00813326"/>
    <w:rsid w:val="00813591"/>
    <w:rsid w:val="008140D6"/>
    <w:rsid w:val="00814137"/>
    <w:rsid w:val="008145A7"/>
    <w:rsid w:val="008149DA"/>
    <w:rsid w:val="00814B5B"/>
    <w:rsid w:val="0081502F"/>
    <w:rsid w:val="00815081"/>
    <w:rsid w:val="008150AB"/>
    <w:rsid w:val="008150C2"/>
    <w:rsid w:val="00815121"/>
    <w:rsid w:val="008154BC"/>
    <w:rsid w:val="008156F4"/>
    <w:rsid w:val="00815915"/>
    <w:rsid w:val="00815E6C"/>
    <w:rsid w:val="00816758"/>
    <w:rsid w:val="0081696D"/>
    <w:rsid w:val="00816A7D"/>
    <w:rsid w:val="00816BC0"/>
    <w:rsid w:val="00816C30"/>
    <w:rsid w:val="00816DEA"/>
    <w:rsid w:val="00816EE2"/>
    <w:rsid w:val="00817081"/>
    <w:rsid w:val="008171B5"/>
    <w:rsid w:val="00817366"/>
    <w:rsid w:val="0081754C"/>
    <w:rsid w:val="008175CB"/>
    <w:rsid w:val="0081767C"/>
    <w:rsid w:val="00817808"/>
    <w:rsid w:val="00817887"/>
    <w:rsid w:val="00817BFD"/>
    <w:rsid w:val="00817D49"/>
    <w:rsid w:val="00817F6B"/>
    <w:rsid w:val="00820175"/>
    <w:rsid w:val="008208AD"/>
    <w:rsid w:val="00820A07"/>
    <w:rsid w:val="00820AE1"/>
    <w:rsid w:val="00820C02"/>
    <w:rsid w:val="008213CD"/>
    <w:rsid w:val="008218F8"/>
    <w:rsid w:val="00821E99"/>
    <w:rsid w:val="00821EF6"/>
    <w:rsid w:val="00821FA3"/>
    <w:rsid w:val="00822245"/>
    <w:rsid w:val="008224D2"/>
    <w:rsid w:val="008225B4"/>
    <w:rsid w:val="00822ED3"/>
    <w:rsid w:val="008230C5"/>
    <w:rsid w:val="008234FD"/>
    <w:rsid w:val="008237AA"/>
    <w:rsid w:val="00823956"/>
    <w:rsid w:val="008239B8"/>
    <w:rsid w:val="00823C0B"/>
    <w:rsid w:val="00823DE4"/>
    <w:rsid w:val="008240E3"/>
    <w:rsid w:val="00824123"/>
    <w:rsid w:val="008244F6"/>
    <w:rsid w:val="00824863"/>
    <w:rsid w:val="00824D81"/>
    <w:rsid w:val="00825791"/>
    <w:rsid w:val="0082579B"/>
    <w:rsid w:val="00825B08"/>
    <w:rsid w:val="00825F57"/>
    <w:rsid w:val="0082652A"/>
    <w:rsid w:val="008268DA"/>
    <w:rsid w:val="008269AD"/>
    <w:rsid w:val="00827155"/>
    <w:rsid w:val="0082715B"/>
    <w:rsid w:val="0082718F"/>
    <w:rsid w:val="0082760C"/>
    <w:rsid w:val="0083005A"/>
    <w:rsid w:val="008303CA"/>
    <w:rsid w:val="00830418"/>
    <w:rsid w:val="00830639"/>
    <w:rsid w:val="0083089D"/>
    <w:rsid w:val="00830FF1"/>
    <w:rsid w:val="00831041"/>
    <w:rsid w:val="00831356"/>
    <w:rsid w:val="00831383"/>
    <w:rsid w:val="00831386"/>
    <w:rsid w:val="008313A1"/>
    <w:rsid w:val="00831412"/>
    <w:rsid w:val="00831419"/>
    <w:rsid w:val="008314D3"/>
    <w:rsid w:val="008316A4"/>
    <w:rsid w:val="008319D9"/>
    <w:rsid w:val="00831BF3"/>
    <w:rsid w:val="008321BD"/>
    <w:rsid w:val="0083226E"/>
    <w:rsid w:val="00832461"/>
    <w:rsid w:val="008326D7"/>
    <w:rsid w:val="0083273F"/>
    <w:rsid w:val="00832B53"/>
    <w:rsid w:val="00832BAC"/>
    <w:rsid w:val="008330CA"/>
    <w:rsid w:val="00833C78"/>
    <w:rsid w:val="00833F9E"/>
    <w:rsid w:val="008341CF"/>
    <w:rsid w:val="0083436E"/>
    <w:rsid w:val="00834564"/>
    <w:rsid w:val="0083463E"/>
    <w:rsid w:val="008346F6"/>
    <w:rsid w:val="008346F7"/>
    <w:rsid w:val="008349D7"/>
    <w:rsid w:val="00834E0B"/>
    <w:rsid w:val="00835700"/>
    <w:rsid w:val="00835AE1"/>
    <w:rsid w:val="00835D15"/>
    <w:rsid w:val="00835EC2"/>
    <w:rsid w:val="00835F4C"/>
    <w:rsid w:val="00836515"/>
    <w:rsid w:val="00836DF2"/>
    <w:rsid w:val="008371F9"/>
    <w:rsid w:val="008376A6"/>
    <w:rsid w:val="00837716"/>
    <w:rsid w:val="00837C0E"/>
    <w:rsid w:val="00837C1A"/>
    <w:rsid w:val="00837C86"/>
    <w:rsid w:val="00837CBA"/>
    <w:rsid w:val="00837D44"/>
    <w:rsid w:val="00837E62"/>
    <w:rsid w:val="00840079"/>
    <w:rsid w:val="00840911"/>
    <w:rsid w:val="00840929"/>
    <w:rsid w:val="0084095B"/>
    <w:rsid w:val="0084113C"/>
    <w:rsid w:val="008414B3"/>
    <w:rsid w:val="00841776"/>
    <w:rsid w:val="00841922"/>
    <w:rsid w:val="00841B36"/>
    <w:rsid w:val="00841BDF"/>
    <w:rsid w:val="00841DA9"/>
    <w:rsid w:val="00842BE0"/>
    <w:rsid w:val="00843CFD"/>
    <w:rsid w:val="00843D4D"/>
    <w:rsid w:val="008445BE"/>
    <w:rsid w:val="008445E8"/>
    <w:rsid w:val="008445F3"/>
    <w:rsid w:val="008447E5"/>
    <w:rsid w:val="008448F0"/>
    <w:rsid w:val="00844ABB"/>
    <w:rsid w:val="00844FC4"/>
    <w:rsid w:val="00845224"/>
    <w:rsid w:val="00845469"/>
    <w:rsid w:val="008455B9"/>
    <w:rsid w:val="00845695"/>
    <w:rsid w:val="00845817"/>
    <w:rsid w:val="00845AAE"/>
    <w:rsid w:val="00845BFE"/>
    <w:rsid w:val="00845E0D"/>
    <w:rsid w:val="0084606E"/>
    <w:rsid w:val="0084613F"/>
    <w:rsid w:val="008461F3"/>
    <w:rsid w:val="00846601"/>
    <w:rsid w:val="0084694A"/>
    <w:rsid w:val="008469A2"/>
    <w:rsid w:val="00846E44"/>
    <w:rsid w:val="00846ED9"/>
    <w:rsid w:val="00846F0A"/>
    <w:rsid w:val="00846FCD"/>
    <w:rsid w:val="008471F9"/>
    <w:rsid w:val="008472F6"/>
    <w:rsid w:val="0084742A"/>
    <w:rsid w:val="0084742D"/>
    <w:rsid w:val="0084768D"/>
    <w:rsid w:val="0084770E"/>
    <w:rsid w:val="00847752"/>
    <w:rsid w:val="0084777F"/>
    <w:rsid w:val="00847BEE"/>
    <w:rsid w:val="00847E4F"/>
    <w:rsid w:val="00847FE2"/>
    <w:rsid w:val="0085015A"/>
    <w:rsid w:val="008502EC"/>
    <w:rsid w:val="0085094C"/>
    <w:rsid w:val="008509BC"/>
    <w:rsid w:val="00850A66"/>
    <w:rsid w:val="00850CE8"/>
    <w:rsid w:val="00850CFF"/>
    <w:rsid w:val="008510B6"/>
    <w:rsid w:val="00851617"/>
    <w:rsid w:val="008516C5"/>
    <w:rsid w:val="0085176F"/>
    <w:rsid w:val="00851882"/>
    <w:rsid w:val="00851B71"/>
    <w:rsid w:val="00851CAE"/>
    <w:rsid w:val="00851E71"/>
    <w:rsid w:val="00851FEB"/>
    <w:rsid w:val="00852050"/>
    <w:rsid w:val="008522D8"/>
    <w:rsid w:val="008525DF"/>
    <w:rsid w:val="00852AB2"/>
    <w:rsid w:val="00853180"/>
    <w:rsid w:val="00853744"/>
    <w:rsid w:val="00853BED"/>
    <w:rsid w:val="00853C5E"/>
    <w:rsid w:val="00853CA0"/>
    <w:rsid w:val="00853D5E"/>
    <w:rsid w:val="00853FD4"/>
    <w:rsid w:val="00854497"/>
    <w:rsid w:val="0085477F"/>
    <w:rsid w:val="008547CA"/>
    <w:rsid w:val="008549BA"/>
    <w:rsid w:val="00854DBC"/>
    <w:rsid w:val="00855069"/>
    <w:rsid w:val="008559EC"/>
    <w:rsid w:val="00855FD9"/>
    <w:rsid w:val="00856170"/>
    <w:rsid w:val="0085618F"/>
    <w:rsid w:val="00856524"/>
    <w:rsid w:val="008567A9"/>
    <w:rsid w:val="00856D9C"/>
    <w:rsid w:val="00856E94"/>
    <w:rsid w:val="00857915"/>
    <w:rsid w:val="00857C5B"/>
    <w:rsid w:val="00857CE2"/>
    <w:rsid w:val="00857D1D"/>
    <w:rsid w:val="00857F86"/>
    <w:rsid w:val="008602DB"/>
    <w:rsid w:val="008603A2"/>
    <w:rsid w:val="00860446"/>
    <w:rsid w:val="00860982"/>
    <w:rsid w:val="00860CB9"/>
    <w:rsid w:val="00860CE5"/>
    <w:rsid w:val="00860E24"/>
    <w:rsid w:val="00860F6E"/>
    <w:rsid w:val="00861457"/>
    <w:rsid w:val="00861738"/>
    <w:rsid w:val="00861873"/>
    <w:rsid w:val="00861BF2"/>
    <w:rsid w:val="00861D67"/>
    <w:rsid w:val="00861F2C"/>
    <w:rsid w:val="00861F40"/>
    <w:rsid w:val="008625B2"/>
    <w:rsid w:val="008626FB"/>
    <w:rsid w:val="00862AC0"/>
    <w:rsid w:val="00862B0B"/>
    <w:rsid w:val="00862C8E"/>
    <w:rsid w:val="00862FCD"/>
    <w:rsid w:val="0086301E"/>
    <w:rsid w:val="00863242"/>
    <w:rsid w:val="00863415"/>
    <w:rsid w:val="008635D1"/>
    <w:rsid w:val="00864042"/>
    <w:rsid w:val="0086406B"/>
    <w:rsid w:val="008641DE"/>
    <w:rsid w:val="008645CC"/>
    <w:rsid w:val="00864800"/>
    <w:rsid w:val="00864A28"/>
    <w:rsid w:val="00864D89"/>
    <w:rsid w:val="00864DE0"/>
    <w:rsid w:val="00864F91"/>
    <w:rsid w:val="0086507D"/>
    <w:rsid w:val="0086527E"/>
    <w:rsid w:val="008653ED"/>
    <w:rsid w:val="00865417"/>
    <w:rsid w:val="0086582A"/>
    <w:rsid w:val="00865DF7"/>
    <w:rsid w:val="00865FDD"/>
    <w:rsid w:val="00866093"/>
    <w:rsid w:val="0086631C"/>
    <w:rsid w:val="00866727"/>
    <w:rsid w:val="00866A55"/>
    <w:rsid w:val="00866E50"/>
    <w:rsid w:val="0086706C"/>
    <w:rsid w:val="0086768E"/>
    <w:rsid w:val="00867A21"/>
    <w:rsid w:val="00867AD0"/>
    <w:rsid w:val="00867E4E"/>
    <w:rsid w:val="00867F21"/>
    <w:rsid w:val="0087029A"/>
    <w:rsid w:val="008704E1"/>
    <w:rsid w:val="00870566"/>
    <w:rsid w:val="00870C79"/>
    <w:rsid w:val="00870CBC"/>
    <w:rsid w:val="00871545"/>
    <w:rsid w:val="00871A9A"/>
    <w:rsid w:val="00871AFD"/>
    <w:rsid w:val="00871BED"/>
    <w:rsid w:val="00872503"/>
    <w:rsid w:val="00872756"/>
    <w:rsid w:val="00872824"/>
    <w:rsid w:val="00872888"/>
    <w:rsid w:val="00872A13"/>
    <w:rsid w:val="00872C64"/>
    <w:rsid w:val="00872CBC"/>
    <w:rsid w:val="0087366B"/>
    <w:rsid w:val="0087382B"/>
    <w:rsid w:val="008739D3"/>
    <w:rsid w:val="00873A48"/>
    <w:rsid w:val="00873B06"/>
    <w:rsid w:val="00873B6E"/>
    <w:rsid w:val="00873BF9"/>
    <w:rsid w:val="00873D9D"/>
    <w:rsid w:val="008741F6"/>
    <w:rsid w:val="00874247"/>
    <w:rsid w:val="00874278"/>
    <w:rsid w:val="00874752"/>
    <w:rsid w:val="00874DF4"/>
    <w:rsid w:val="00874E72"/>
    <w:rsid w:val="00875690"/>
    <w:rsid w:val="00875805"/>
    <w:rsid w:val="00875CD9"/>
    <w:rsid w:val="00876433"/>
    <w:rsid w:val="00876468"/>
    <w:rsid w:val="00876755"/>
    <w:rsid w:val="008767B4"/>
    <w:rsid w:val="008769F9"/>
    <w:rsid w:val="00876A2C"/>
    <w:rsid w:val="00876E68"/>
    <w:rsid w:val="00877170"/>
    <w:rsid w:val="008771ED"/>
    <w:rsid w:val="008772AF"/>
    <w:rsid w:val="00877591"/>
    <w:rsid w:val="00877896"/>
    <w:rsid w:val="00877A0C"/>
    <w:rsid w:val="00877EAC"/>
    <w:rsid w:val="008801B2"/>
    <w:rsid w:val="0088052E"/>
    <w:rsid w:val="008808A4"/>
    <w:rsid w:val="008809C6"/>
    <w:rsid w:val="00880B37"/>
    <w:rsid w:val="00880D27"/>
    <w:rsid w:val="00881077"/>
    <w:rsid w:val="00881443"/>
    <w:rsid w:val="00881758"/>
    <w:rsid w:val="00882043"/>
    <w:rsid w:val="00882247"/>
    <w:rsid w:val="00882610"/>
    <w:rsid w:val="0088290B"/>
    <w:rsid w:val="0088292E"/>
    <w:rsid w:val="008831FD"/>
    <w:rsid w:val="00883231"/>
    <w:rsid w:val="008838BA"/>
    <w:rsid w:val="008839A0"/>
    <w:rsid w:val="00883A02"/>
    <w:rsid w:val="00883B84"/>
    <w:rsid w:val="00883D33"/>
    <w:rsid w:val="00883EDB"/>
    <w:rsid w:val="0088488B"/>
    <w:rsid w:val="00884931"/>
    <w:rsid w:val="00884FC6"/>
    <w:rsid w:val="008857B5"/>
    <w:rsid w:val="00885816"/>
    <w:rsid w:val="00885AC2"/>
    <w:rsid w:val="00886698"/>
    <w:rsid w:val="00886944"/>
    <w:rsid w:val="00886C18"/>
    <w:rsid w:val="00886EDA"/>
    <w:rsid w:val="0088717A"/>
    <w:rsid w:val="0088785A"/>
    <w:rsid w:val="00887A0A"/>
    <w:rsid w:val="00887B04"/>
    <w:rsid w:val="00887BB0"/>
    <w:rsid w:val="00887BDB"/>
    <w:rsid w:val="00887FC1"/>
    <w:rsid w:val="008900A5"/>
    <w:rsid w:val="008900C9"/>
    <w:rsid w:val="008900D9"/>
    <w:rsid w:val="008900EF"/>
    <w:rsid w:val="008906CE"/>
    <w:rsid w:val="00890DE7"/>
    <w:rsid w:val="0089101A"/>
    <w:rsid w:val="008912C1"/>
    <w:rsid w:val="008912C8"/>
    <w:rsid w:val="0089169C"/>
    <w:rsid w:val="008920A9"/>
    <w:rsid w:val="008925CC"/>
    <w:rsid w:val="00892931"/>
    <w:rsid w:val="008929EC"/>
    <w:rsid w:val="00892EF4"/>
    <w:rsid w:val="00893112"/>
    <w:rsid w:val="008931FA"/>
    <w:rsid w:val="00893382"/>
    <w:rsid w:val="0089338E"/>
    <w:rsid w:val="00893391"/>
    <w:rsid w:val="008934FA"/>
    <w:rsid w:val="0089391D"/>
    <w:rsid w:val="008939E2"/>
    <w:rsid w:val="00893DD7"/>
    <w:rsid w:val="00893E3A"/>
    <w:rsid w:val="00893F57"/>
    <w:rsid w:val="00894429"/>
    <w:rsid w:val="00894827"/>
    <w:rsid w:val="00894924"/>
    <w:rsid w:val="0089494F"/>
    <w:rsid w:val="00894B2B"/>
    <w:rsid w:val="00894D82"/>
    <w:rsid w:val="00895052"/>
    <w:rsid w:val="00895530"/>
    <w:rsid w:val="00895625"/>
    <w:rsid w:val="00895630"/>
    <w:rsid w:val="00895781"/>
    <w:rsid w:val="00895A77"/>
    <w:rsid w:val="00895BA3"/>
    <w:rsid w:val="00895CFD"/>
    <w:rsid w:val="00895F41"/>
    <w:rsid w:val="00896076"/>
    <w:rsid w:val="008962C4"/>
    <w:rsid w:val="008964D6"/>
    <w:rsid w:val="00896513"/>
    <w:rsid w:val="008966D7"/>
    <w:rsid w:val="00896867"/>
    <w:rsid w:val="00896B1A"/>
    <w:rsid w:val="00896C8C"/>
    <w:rsid w:val="00896CAD"/>
    <w:rsid w:val="008971B2"/>
    <w:rsid w:val="00897261"/>
    <w:rsid w:val="0089767F"/>
    <w:rsid w:val="00897702"/>
    <w:rsid w:val="0089779F"/>
    <w:rsid w:val="00897B0E"/>
    <w:rsid w:val="00897B7B"/>
    <w:rsid w:val="00897E11"/>
    <w:rsid w:val="00897FA7"/>
    <w:rsid w:val="008A035D"/>
    <w:rsid w:val="008A03AA"/>
    <w:rsid w:val="008A0445"/>
    <w:rsid w:val="008A061D"/>
    <w:rsid w:val="008A065A"/>
    <w:rsid w:val="008A0A6B"/>
    <w:rsid w:val="008A0CA9"/>
    <w:rsid w:val="008A0DE7"/>
    <w:rsid w:val="008A1222"/>
    <w:rsid w:val="008A1284"/>
    <w:rsid w:val="008A13AE"/>
    <w:rsid w:val="008A1498"/>
    <w:rsid w:val="008A1584"/>
    <w:rsid w:val="008A1ECF"/>
    <w:rsid w:val="008A215B"/>
    <w:rsid w:val="008A2530"/>
    <w:rsid w:val="008A2559"/>
    <w:rsid w:val="008A293B"/>
    <w:rsid w:val="008A29CD"/>
    <w:rsid w:val="008A2C2C"/>
    <w:rsid w:val="008A2E89"/>
    <w:rsid w:val="008A34CA"/>
    <w:rsid w:val="008A3A63"/>
    <w:rsid w:val="008A3ACD"/>
    <w:rsid w:val="008A3B89"/>
    <w:rsid w:val="008A3CD4"/>
    <w:rsid w:val="008A3D91"/>
    <w:rsid w:val="008A4500"/>
    <w:rsid w:val="008A4560"/>
    <w:rsid w:val="008A4706"/>
    <w:rsid w:val="008A47FF"/>
    <w:rsid w:val="008A48AB"/>
    <w:rsid w:val="008A4940"/>
    <w:rsid w:val="008A4BCA"/>
    <w:rsid w:val="008A4BD6"/>
    <w:rsid w:val="008A4CE4"/>
    <w:rsid w:val="008A5280"/>
    <w:rsid w:val="008A5291"/>
    <w:rsid w:val="008A53F0"/>
    <w:rsid w:val="008A57C6"/>
    <w:rsid w:val="008A592D"/>
    <w:rsid w:val="008A5ADA"/>
    <w:rsid w:val="008A5C8C"/>
    <w:rsid w:val="008A5CD0"/>
    <w:rsid w:val="008A5D0B"/>
    <w:rsid w:val="008A5D4B"/>
    <w:rsid w:val="008A6223"/>
    <w:rsid w:val="008A637D"/>
    <w:rsid w:val="008A6AF7"/>
    <w:rsid w:val="008A6F6A"/>
    <w:rsid w:val="008A70B3"/>
    <w:rsid w:val="008A71D6"/>
    <w:rsid w:val="008A71DE"/>
    <w:rsid w:val="008A729A"/>
    <w:rsid w:val="008A741D"/>
    <w:rsid w:val="008A7536"/>
    <w:rsid w:val="008A766C"/>
    <w:rsid w:val="008A770E"/>
    <w:rsid w:val="008A7760"/>
    <w:rsid w:val="008A7761"/>
    <w:rsid w:val="008A786F"/>
    <w:rsid w:val="008A793F"/>
    <w:rsid w:val="008B03CF"/>
    <w:rsid w:val="008B03FD"/>
    <w:rsid w:val="008B062D"/>
    <w:rsid w:val="008B06B7"/>
    <w:rsid w:val="008B0807"/>
    <w:rsid w:val="008B086C"/>
    <w:rsid w:val="008B086F"/>
    <w:rsid w:val="008B0BC1"/>
    <w:rsid w:val="008B106E"/>
    <w:rsid w:val="008B1118"/>
    <w:rsid w:val="008B11EC"/>
    <w:rsid w:val="008B149F"/>
    <w:rsid w:val="008B169D"/>
    <w:rsid w:val="008B17A4"/>
    <w:rsid w:val="008B18A2"/>
    <w:rsid w:val="008B1C41"/>
    <w:rsid w:val="008B1CA8"/>
    <w:rsid w:val="008B1DFD"/>
    <w:rsid w:val="008B1E69"/>
    <w:rsid w:val="008B1F07"/>
    <w:rsid w:val="008B1F86"/>
    <w:rsid w:val="008B2819"/>
    <w:rsid w:val="008B2C12"/>
    <w:rsid w:val="008B2D50"/>
    <w:rsid w:val="008B2D52"/>
    <w:rsid w:val="008B3108"/>
    <w:rsid w:val="008B319D"/>
    <w:rsid w:val="008B3212"/>
    <w:rsid w:val="008B349D"/>
    <w:rsid w:val="008B3781"/>
    <w:rsid w:val="008B3CFC"/>
    <w:rsid w:val="008B40EC"/>
    <w:rsid w:val="008B465D"/>
    <w:rsid w:val="008B469F"/>
    <w:rsid w:val="008B4890"/>
    <w:rsid w:val="008B497A"/>
    <w:rsid w:val="008B4AE2"/>
    <w:rsid w:val="008B4BAE"/>
    <w:rsid w:val="008B4CDC"/>
    <w:rsid w:val="008B505D"/>
    <w:rsid w:val="008B545B"/>
    <w:rsid w:val="008B55DF"/>
    <w:rsid w:val="008B585D"/>
    <w:rsid w:val="008B5ADC"/>
    <w:rsid w:val="008B5B96"/>
    <w:rsid w:val="008B5C4A"/>
    <w:rsid w:val="008B6058"/>
    <w:rsid w:val="008B630F"/>
    <w:rsid w:val="008B6793"/>
    <w:rsid w:val="008B6862"/>
    <w:rsid w:val="008B6B0F"/>
    <w:rsid w:val="008B6E24"/>
    <w:rsid w:val="008B6F6A"/>
    <w:rsid w:val="008B7364"/>
    <w:rsid w:val="008B753D"/>
    <w:rsid w:val="008B77AF"/>
    <w:rsid w:val="008B7974"/>
    <w:rsid w:val="008B7AB7"/>
    <w:rsid w:val="008B7C3D"/>
    <w:rsid w:val="008B7F9B"/>
    <w:rsid w:val="008C01D2"/>
    <w:rsid w:val="008C027C"/>
    <w:rsid w:val="008C0468"/>
    <w:rsid w:val="008C0860"/>
    <w:rsid w:val="008C0FFE"/>
    <w:rsid w:val="008C106B"/>
    <w:rsid w:val="008C1366"/>
    <w:rsid w:val="008C17C5"/>
    <w:rsid w:val="008C1B01"/>
    <w:rsid w:val="008C1E89"/>
    <w:rsid w:val="008C28A8"/>
    <w:rsid w:val="008C2985"/>
    <w:rsid w:val="008C29BF"/>
    <w:rsid w:val="008C2A9E"/>
    <w:rsid w:val="008C3805"/>
    <w:rsid w:val="008C3EA8"/>
    <w:rsid w:val="008C3F1A"/>
    <w:rsid w:val="008C40D6"/>
    <w:rsid w:val="008C4614"/>
    <w:rsid w:val="008C4CE1"/>
    <w:rsid w:val="008C4D5E"/>
    <w:rsid w:val="008C4E8A"/>
    <w:rsid w:val="008C4EE7"/>
    <w:rsid w:val="008C4F38"/>
    <w:rsid w:val="008C4F50"/>
    <w:rsid w:val="008C52D7"/>
    <w:rsid w:val="008C5447"/>
    <w:rsid w:val="008C56D9"/>
    <w:rsid w:val="008C5819"/>
    <w:rsid w:val="008C5A38"/>
    <w:rsid w:val="008C5C2C"/>
    <w:rsid w:val="008C5C57"/>
    <w:rsid w:val="008C5D15"/>
    <w:rsid w:val="008C5D68"/>
    <w:rsid w:val="008C613D"/>
    <w:rsid w:val="008C63B0"/>
    <w:rsid w:val="008C645A"/>
    <w:rsid w:val="008C6840"/>
    <w:rsid w:val="008C6900"/>
    <w:rsid w:val="008C6938"/>
    <w:rsid w:val="008C6CEA"/>
    <w:rsid w:val="008C6EB1"/>
    <w:rsid w:val="008C7740"/>
    <w:rsid w:val="008C77FB"/>
    <w:rsid w:val="008C790E"/>
    <w:rsid w:val="008C7C19"/>
    <w:rsid w:val="008C7D78"/>
    <w:rsid w:val="008C7E78"/>
    <w:rsid w:val="008D005E"/>
    <w:rsid w:val="008D0123"/>
    <w:rsid w:val="008D0455"/>
    <w:rsid w:val="008D04A6"/>
    <w:rsid w:val="008D0527"/>
    <w:rsid w:val="008D06C0"/>
    <w:rsid w:val="008D094B"/>
    <w:rsid w:val="008D0F0F"/>
    <w:rsid w:val="008D1077"/>
    <w:rsid w:val="008D160F"/>
    <w:rsid w:val="008D16B2"/>
    <w:rsid w:val="008D186F"/>
    <w:rsid w:val="008D197F"/>
    <w:rsid w:val="008D1B42"/>
    <w:rsid w:val="008D1E13"/>
    <w:rsid w:val="008D1F98"/>
    <w:rsid w:val="008D22B2"/>
    <w:rsid w:val="008D23CA"/>
    <w:rsid w:val="008D240E"/>
    <w:rsid w:val="008D2543"/>
    <w:rsid w:val="008D25F0"/>
    <w:rsid w:val="008D2849"/>
    <w:rsid w:val="008D28F4"/>
    <w:rsid w:val="008D2B2A"/>
    <w:rsid w:val="008D2C8B"/>
    <w:rsid w:val="008D2CC0"/>
    <w:rsid w:val="008D30E1"/>
    <w:rsid w:val="008D32DD"/>
    <w:rsid w:val="008D346B"/>
    <w:rsid w:val="008D34A3"/>
    <w:rsid w:val="008D34BD"/>
    <w:rsid w:val="008D3AB1"/>
    <w:rsid w:val="008D3C14"/>
    <w:rsid w:val="008D3E93"/>
    <w:rsid w:val="008D4026"/>
    <w:rsid w:val="008D413F"/>
    <w:rsid w:val="008D439B"/>
    <w:rsid w:val="008D4513"/>
    <w:rsid w:val="008D45DB"/>
    <w:rsid w:val="008D4C06"/>
    <w:rsid w:val="008D4E7F"/>
    <w:rsid w:val="008D52EA"/>
    <w:rsid w:val="008D5C65"/>
    <w:rsid w:val="008D5D69"/>
    <w:rsid w:val="008D5DFA"/>
    <w:rsid w:val="008D606B"/>
    <w:rsid w:val="008D63FD"/>
    <w:rsid w:val="008D6848"/>
    <w:rsid w:val="008D6964"/>
    <w:rsid w:val="008D6B4B"/>
    <w:rsid w:val="008D6BCA"/>
    <w:rsid w:val="008D6C73"/>
    <w:rsid w:val="008D6D51"/>
    <w:rsid w:val="008D6E9C"/>
    <w:rsid w:val="008D7109"/>
    <w:rsid w:val="008D73C7"/>
    <w:rsid w:val="008D74C0"/>
    <w:rsid w:val="008D792C"/>
    <w:rsid w:val="008D7A71"/>
    <w:rsid w:val="008D7C46"/>
    <w:rsid w:val="008D7D87"/>
    <w:rsid w:val="008D7DB7"/>
    <w:rsid w:val="008E0272"/>
    <w:rsid w:val="008E0503"/>
    <w:rsid w:val="008E099A"/>
    <w:rsid w:val="008E0D64"/>
    <w:rsid w:val="008E132D"/>
    <w:rsid w:val="008E16AD"/>
    <w:rsid w:val="008E1807"/>
    <w:rsid w:val="008E234A"/>
    <w:rsid w:val="008E26D4"/>
    <w:rsid w:val="008E2BA8"/>
    <w:rsid w:val="008E2FC1"/>
    <w:rsid w:val="008E3442"/>
    <w:rsid w:val="008E3523"/>
    <w:rsid w:val="008E36FD"/>
    <w:rsid w:val="008E3809"/>
    <w:rsid w:val="008E3CD6"/>
    <w:rsid w:val="008E4044"/>
    <w:rsid w:val="008E4165"/>
    <w:rsid w:val="008E41C0"/>
    <w:rsid w:val="008E4406"/>
    <w:rsid w:val="008E4487"/>
    <w:rsid w:val="008E4532"/>
    <w:rsid w:val="008E4586"/>
    <w:rsid w:val="008E4959"/>
    <w:rsid w:val="008E4B98"/>
    <w:rsid w:val="008E5218"/>
    <w:rsid w:val="008E5423"/>
    <w:rsid w:val="008E5627"/>
    <w:rsid w:val="008E5692"/>
    <w:rsid w:val="008E575B"/>
    <w:rsid w:val="008E57A8"/>
    <w:rsid w:val="008E5C73"/>
    <w:rsid w:val="008E5CC8"/>
    <w:rsid w:val="008E60BA"/>
    <w:rsid w:val="008E613C"/>
    <w:rsid w:val="008E61F6"/>
    <w:rsid w:val="008E62D2"/>
    <w:rsid w:val="008E6362"/>
    <w:rsid w:val="008E667A"/>
    <w:rsid w:val="008E670F"/>
    <w:rsid w:val="008E6A28"/>
    <w:rsid w:val="008E6B23"/>
    <w:rsid w:val="008E7084"/>
    <w:rsid w:val="008E73F6"/>
    <w:rsid w:val="008E796E"/>
    <w:rsid w:val="008E7B49"/>
    <w:rsid w:val="008E7FE0"/>
    <w:rsid w:val="008F0198"/>
    <w:rsid w:val="008F0317"/>
    <w:rsid w:val="008F04FD"/>
    <w:rsid w:val="008F085A"/>
    <w:rsid w:val="008F0CF0"/>
    <w:rsid w:val="008F0FEE"/>
    <w:rsid w:val="008F1134"/>
    <w:rsid w:val="008F11D2"/>
    <w:rsid w:val="008F1ABD"/>
    <w:rsid w:val="008F1DB9"/>
    <w:rsid w:val="008F1E60"/>
    <w:rsid w:val="008F2057"/>
    <w:rsid w:val="008F2420"/>
    <w:rsid w:val="008F2801"/>
    <w:rsid w:val="008F29E4"/>
    <w:rsid w:val="008F2A58"/>
    <w:rsid w:val="008F2C00"/>
    <w:rsid w:val="008F2F57"/>
    <w:rsid w:val="008F3036"/>
    <w:rsid w:val="008F3242"/>
    <w:rsid w:val="008F345B"/>
    <w:rsid w:val="008F357A"/>
    <w:rsid w:val="008F3947"/>
    <w:rsid w:val="008F3999"/>
    <w:rsid w:val="008F3B18"/>
    <w:rsid w:val="008F3B45"/>
    <w:rsid w:val="008F3BC3"/>
    <w:rsid w:val="008F3E9A"/>
    <w:rsid w:val="008F3F89"/>
    <w:rsid w:val="008F413C"/>
    <w:rsid w:val="008F4387"/>
    <w:rsid w:val="008F47C7"/>
    <w:rsid w:val="008F497E"/>
    <w:rsid w:val="008F4C3A"/>
    <w:rsid w:val="008F4F5B"/>
    <w:rsid w:val="008F50C7"/>
    <w:rsid w:val="008F5179"/>
    <w:rsid w:val="008F5547"/>
    <w:rsid w:val="008F56AE"/>
    <w:rsid w:val="008F570A"/>
    <w:rsid w:val="008F587B"/>
    <w:rsid w:val="008F5D7F"/>
    <w:rsid w:val="008F5DAC"/>
    <w:rsid w:val="008F6550"/>
    <w:rsid w:val="008F6DEF"/>
    <w:rsid w:val="008F6FBB"/>
    <w:rsid w:val="008F7090"/>
    <w:rsid w:val="008F75B9"/>
    <w:rsid w:val="008F7C85"/>
    <w:rsid w:val="0090013A"/>
    <w:rsid w:val="00900185"/>
    <w:rsid w:val="009003DF"/>
    <w:rsid w:val="00900B9F"/>
    <w:rsid w:val="00901829"/>
    <w:rsid w:val="00901B06"/>
    <w:rsid w:val="00901D95"/>
    <w:rsid w:val="00901DAE"/>
    <w:rsid w:val="009021F7"/>
    <w:rsid w:val="00902490"/>
    <w:rsid w:val="00902590"/>
    <w:rsid w:val="009025EC"/>
    <w:rsid w:val="00902622"/>
    <w:rsid w:val="00902B61"/>
    <w:rsid w:val="00902D70"/>
    <w:rsid w:val="00902EB3"/>
    <w:rsid w:val="00902F7C"/>
    <w:rsid w:val="009034D9"/>
    <w:rsid w:val="009039B9"/>
    <w:rsid w:val="00903B62"/>
    <w:rsid w:val="00903F21"/>
    <w:rsid w:val="00904095"/>
    <w:rsid w:val="00904310"/>
    <w:rsid w:val="00904381"/>
    <w:rsid w:val="00904714"/>
    <w:rsid w:val="0090481B"/>
    <w:rsid w:val="00904923"/>
    <w:rsid w:val="00904A44"/>
    <w:rsid w:val="00904F34"/>
    <w:rsid w:val="009054A3"/>
    <w:rsid w:val="009054EC"/>
    <w:rsid w:val="00905C69"/>
    <w:rsid w:val="00905D26"/>
    <w:rsid w:val="00905F52"/>
    <w:rsid w:val="0090627D"/>
    <w:rsid w:val="0090645D"/>
    <w:rsid w:val="00906717"/>
    <w:rsid w:val="00906778"/>
    <w:rsid w:val="00906853"/>
    <w:rsid w:val="00906B14"/>
    <w:rsid w:val="00907A7D"/>
    <w:rsid w:val="0091009A"/>
    <w:rsid w:val="00910134"/>
    <w:rsid w:val="009101AF"/>
    <w:rsid w:val="0091066B"/>
    <w:rsid w:val="009107DE"/>
    <w:rsid w:val="00910C9D"/>
    <w:rsid w:val="00910D9C"/>
    <w:rsid w:val="00910E2A"/>
    <w:rsid w:val="00910EDA"/>
    <w:rsid w:val="00910F50"/>
    <w:rsid w:val="009113C4"/>
    <w:rsid w:val="009116DA"/>
    <w:rsid w:val="00911783"/>
    <w:rsid w:val="009117AA"/>
    <w:rsid w:val="00911832"/>
    <w:rsid w:val="009118EE"/>
    <w:rsid w:val="00911BD3"/>
    <w:rsid w:val="00911D79"/>
    <w:rsid w:val="00911FA9"/>
    <w:rsid w:val="00912C46"/>
    <w:rsid w:val="00912C93"/>
    <w:rsid w:val="00912EE4"/>
    <w:rsid w:val="00912F47"/>
    <w:rsid w:val="009130BD"/>
    <w:rsid w:val="009131D8"/>
    <w:rsid w:val="009133E2"/>
    <w:rsid w:val="0091354E"/>
    <w:rsid w:val="009135FB"/>
    <w:rsid w:val="009138EC"/>
    <w:rsid w:val="009138FB"/>
    <w:rsid w:val="00913B55"/>
    <w:rsid w:val="00913D79"/>
    <w:rsid w:val="00913FB8"/>
    <w:rsid w:val="00914622"/>
    <w:rsid w:val="00914623"/>
    <w:rsid w:val="00914937"/>
    <w:rsid w:val="00914A4F"/>
    <w:rsid w:val="00914C9E"/>
    <w:rsid w:val="009154F3"/>
    <w:rsid w:val="0091589D"/>
    <w:rsid w:val="009159C7"/>
    <w:rsid w:val="00915EEF"/>
    <w:rsid w:val="00915F08"/>
    <w:rsid w:val="009160BF"/>
    <w:rsid w:val="009162B6"/>
    <w:rsid w:val="009166AB"/>
    <w:rsid w:val="00916A7C"/>
    <w:rsid w:val="00916EEC"/>
    <w:rsid w:val="00916F36"/>
    <w:rsid w:val="00916F3E"/>
    <w:rsid w:val="0091701E"/>
    <w:rsid w:val="0091703F"/>
    <w:rsid w:val="0091714A"/>
    <w:rsid w:val="009173A8"/>
    <w:rsid w:val="00917FCC"/>
    <w:rsid w:val="00920081"/>
    <w:rsid w:val="00920101"/>
    <w:rsid w:val="009201B8"/>
    <w:rsid w:val="00920261"/>
    <w:rsid w:val="009205FE"/>
    <w:rsid w:val="009207B8"/>
    <w:rsid w:val="00920F4B"/>
    <w:rsid w:val="00921049"/>
    <w:rsid w:val="0092134E"/>
    <w:rsid w:val="0092146C"/>
    <w:rsid w:val="009214BC"/>
    <w:rsid w:val="009216F4"/>
    <w:rsid w:val="009218AD"/>
    <w:rsid w:val="00921C7E"/>
    <w:rsid w:val="00921E23"/>
    <w:rsid w:val="00921EA5"/>
    <w:rsid w:val="00921FCF"/>
    <w:rsid w:val="0092206D"/>
    <w:rsid w:val="00922445"/>
    <w:rsid w:val="009224A1"/>
    <w:rsid w:val="009226D2"/>
    <w:rsid w:val="00922906"/>
    <w:rsid w:val="00922978"/>
    <w:rsid w:val="00922CA7"/>
    <w:rsid w:val="00922D7A"/>
    <w:rsid w:val="00922F7B"/>
    <w:rsid w:val="00923427"/>
    <w:rsid w:val="009236CC"/>
    <w:rsid w:val="0092396E"/>
    <w:rsid w:val="00923C4E"/>
    <w:rsid w:val="00923D92"/>
    <w:rsid w:val="00923DA3"/>
    <w:rsid w:val="00923DEE"/>
    <w:rsid w:val="009241FB"/>
    <w:rsid w:val="009242F0"/>
    <w:rsid w:val="0092441C"/>
    <w:rsid w:val="00924429"/>
    <w:rsid w:val="00924536"/>
    <w:rsid w:val="00924692"/>
    <w:rsid w:val="009249BD"/>
    <w:rsid w:val="00924A03"/>
    <w:rsid w:val="00924A83"/>
    <w:rsid w:val="00924A85"/>
    <w:rsid w:val="00924D3C"/>
    <w:rsid w:val="00924D9A"/>
    <w:rsid w:val="00924FFB"/>
    <w:rsid w:val="00925217"/>
    <w:rsid w:val="009252D8"/>
    <w:rsid w:val="00925356"/>
    <w:rsid w:val="0092594A"/>
    <w:rsid w:val="00925B68"/>
    <w:rsid w:val="00926180"/>
    <w:rsid w:val="009264EE"/>
    <w:rsid w:val="009269A1"/>
    <w:rsid w:val="00926ACF"/>
    <w:rsid w:val="00926D93"/>
    <w:rsid w:val="00926FBD"/>
    <w:rsid w:val="00926FCF"/>
    <w:rsid w:val="00926FE0"/>
    <w:rsid w:val="0092711F"/>
    <w:rsid w:val="00927266"/>
    <w:rsid w:val="00927602"/>
    <w:rsid w:val="00927721"/>
    <w:rsid w:val="00927857"/>
    <w:rsid w:val="009279F7"/>
    <w:rsid w:val="00927F12"/>
    <w:rsid w:val="00927FBD"/>
    <w:rsid w:val="00930161"/>
    <w:rsid w:val="009306C3"/>
    <w:rsid w:val="00930821"/>
    <w:rsid w:val="009308E3"/>
    <w:rsid w:val="00930A22"/>
    <w:rsid w:val="009312A8"/>
    <w:rsid w:val="00931BCC"/>
    <w:rsid w:val="00931FDE"/>
    <w:rsid w:val="009320A7"/>
    <w:rsid w:val="009320B1"/>
    <w:rsid w:val="009321E9"/>
    <w:rsid w:val="00932518"/>
    <w:rsid w:val="009326BE"/>
    <w:rsid w:val="0093274F"/>
    <w:rsid w:val="00932752"/>
    <w:rsid w:val="0093285E"/>
    <w:rsid w:val="00932A1F"/>
    <w:rsid w:val="00932AB3"/>
    <w:rsid w:val="00932D82"/>
    <w:rsid w:val="00932DA8"/>
    <w:rsid w:val="00932DEF"/>
    <w:rsid w:val="00932EBB"/>
    <w:rsid w:val="00932FC5"/>
    <w:rsid w:val="009331C8"/>
    <w:rsid w:val="009332EF"/>
    <w:rsid w:val="009335EA"/>
    <w:rsid w:val="0093390F"/>
    <w:rsid w:val="00933A57"/>
    <w:rsid w:val="0093452B"/>
    <w:rsid w:val="00934841"/>
    <w:rsid w:val="009348FD"/>
    <w:rsid w:val="0093499C"/>
    <w:rsid w:val="00934C4A"/>
    <w:rsid w:val="00934F93"/>
    <w:rsid w:val="00935041"/>
    <w:rsid w:val="00935330"/>
    <w:rsid w:val="009354B0"/>
    <w:rsid w:val="00935A3E"/>
    <w:rsid w:val="00935B24"/>
    <w:rsid w:val="00935ECF"/>
    <w:rsid w:val="00935ED8"/>
    <w:rsid w:val="0093602D"/>
    <w:rsid w:val="00936073"/>
    <w:rsid w:val="009361D7"/>
    <w:rsid w:val="0093648E"/>
    <w:rsid w:val="0093665C"/>
    <w:rsid w:val="0093667F"/>
    <w:rsid w:val="0093699E"/>
    <w:rsid w:val="009369CF"/>
    <w:rsid w:val="00936CCF"/>
    <w:rsid w:val="00936D13"/>
    <w:rsid w:val="00936D5B"/>
    <w:rsid w:val="009378E6"/>
    <w:rsid w:val="0093798F"/>
    <w:rsid w:val="00937A2B"/>
    <w:rsid w:val="00940632"/>
    <w:rsid w:val="009406DC"/>
    <w:rsid w:val="00940936"/>
    <w:rsid w:val="00940A3A"/>
    <w:rsid w:val="00940AA5"/>
    <w:rsid w:val="00940CE7"/>
    <w:rsid w:val="00941297"/>
    <w:rsid w:val="00941338"/>
    <w:rsid w:val="00941670"/>
    <w:rsid w:val="0094191B"/>
    <w:rsid w:val="00941B44"/>
    <w:rsid w:val="00941F4C"/>
    <w:rsid w:val="0094214D"/>
    <w:rsid w:val="0094216D"/>
    <w:rsid w:val="0094257C"/>
    <w:rsid w:val="00942859"/>
    <w:rsid w:val="009431B6"/>
    <w:rsid w:val="009435CF"/>
    <w:rsid w:val="00943922"/>
    <w:rsid w:val="00943D84"/>
    <w:rsid w:val="009441DF"/>
    <w:rsid w:val="00944391"/>
    <w:rsid w:val="00944792"/>
    <w:rsid w:val="00944926"/>
    <w:rsid w:val="00944988"/>
    <w:rsid w:val="00944B10"/>
    <w:rsid w:val="00944DD1"/>
    <w:rsid w:val="00944E75"/>
    <w:rsid w:val="00944F35"/>
    <w:rsid w:val="009452E5"/>
    <w:rsid w:val="00945490"/>
    <w:rsid w:val="009455A7"/>
    <w:rsid w:val="009456C7"/>
    <w:rsid w:val="00945C77"/>
    <w:rsid w:val="00945FC0"/>
    <w:rsid w:val="00946022"/>
    <w:rsid w:val="009460E0"/>
    <w:rsid w:val="00946201"/>
    <w:rsid w:val="00946722"/>
    <w:rsid w:val="009467AA"/>
    <w:rsid w:val="00946AFA"/>
    <w:rsid w:val="00946D54"/>
    <w:rsid w:val="00946DF4"/>
    <w:rsid w:val="00947089"/>
    <w:rsid w:val="00947106"/>
    <w:rsid w:val="009472E0"/>
    <w:rsid w:val="00947549"/>
    <w:rsid w:val="0094759A"/>
    <w:rsid w:val="00947607"/>
    <w:rsid w:val="00947638"/>
    <w:rsid w:val="00947A7B"/>
    <w:rsid w:val="00947B71"/>
    <w:rsid w:val="00947DE1"/>
    <w:rsid w:val="00947E75"/>
    <w:rsid w:val="009505D8"/>
    <w:rsid w:val="00950647"/>
    <w:rsid w:val="00950A12"/>
    <w:rsid w:val="0095107A"/>
    <w:rsid w:val="00951138"/>
    <w:rsid w:val="00951657"/>
    <w:rsid w:val="00951867"/>
    <w:rsid w:val="00951993"/>
    <w:rsid w:val="00951AAF"/>
    <w:rsid w:val="00951DA6"/>
    <w:rsid w:val="00951E1E"/>
    <w:rsid w:val="009520C5"/>
    <w:rsid w:val="009520C6"/>
    <w:rsid w:val="00952102"/>
    <w:rsid w:val="0095212C"/>
    <w:rsid w:val="009522C4"/>
    <w:rsid w:val="009523DE"/>
    <w:rsid w:val="00952434"/>
    <w:rsid w:val="00952546"/>
    <w:rsid w:val="009525A3"/>
    <w:rsid w:val="00952612"/>
    <w:rsid w:val="00952B9E"/>
    <w:rsid w:val="00952C35"/>
    <w:rsid w:val="00952FB8"/>
    <w:rsid w:val="0095313D"/>
    <w:rsid w:val="009532F6"/>
    <w:rsid w:val="00953749"/>
    <w:rsid w:val="00953A50"/>
    <w:rsid w:val="00953BB1"/>
    <w:rsid w:val="00953D1D"/>
    <w:rsid w:val="00953F4E"/>
    <w:rsid w:val="00953FD1"/>
    <w:rsid w:val="00953FDE"/>
    <w:rsid w:val="00954022"/>
    <w:rsid w:val="009542EF"/>
    <w:rsid w:val="0095469C"/>
    <w:rsid w:val="00954822"/>
    <w:rsid w:val="0095484E"/>
    <w:rsid w:val="00954968"/>
    <w:rsid w:val="009549EF"/>
    <w:rsid w:val="00954E2D"/>
    <w:rsid w:val="0095545C"/>
    <w:rsid w:val="00955A00"/>
    <w:rsid w:val="00955EAF"/>
    <w:rsid w:val="00955F0D"/>
    <w:rsid w:val="0095600D"/>
    <w:rsid w:val="00956512"/>
    <w:rsid w:val="0095655A"/>
    <w:rsid w:val="0095667E"/>
    <w:rsid w:val="00956717"/>
    <w:rsid w:val="00956900"/>
    <w:rsid w:val="00956B2E"/>
    <w:rsid w:val="00956F21"/>
    <w:rsid w:val="0095715B"/>
    <w:rsid w:val="0095719C"/>
    <w:rsid w:val="009574A7"/>
    <w:rsid w:val="009578E0"/>
    <w:rsid w:val="0095793D"/>
    <w:rsid w:val="0095796C"/>
    <w:rsid w:val="00957A6D"/>
    <w:rsid w:val="00957AF9"/>
    <w:rsid w:val="00957BCE"/>
    <w:rsid w:val="009601AF"/>
    <w:rsid w:val="00960585"/>
    <w:rsid w:val="00960AF3"/>
    <w:rsid w:val="00960CA6"/>
    <w:rsid w:val="00960DB5"/>
    <w:rsid w:val="00960DD5"/>
    <w:rsid w:val="00960EA2"/>
    <w:rsid w:val="00960FF9"/>
    <w:rsid w:val="00961171"/>
    <w:rsid w:val="00961372"/>
    <w:rsid w:val="0096140B"/>
    <w:rsid w:val="0096141D"/>
    <w:rsid w:val="00961450"/>
    <w:rsid w:val="00961925"/>
    <w:rsid w:val="00961930"/>
    <w:rsid w:val="00961965"/>
    <w:rsid w:val="00961D79"/>
    <w:rsid w:val="00961DF7"/>
    <w:rsid w:val="00961FE4"/>
    <w:rsid w:val="009622FE"/>
    <w:rsid w:val="009623D4"/>
    <w:rsid w:val="00962781"/>
    <w:rsid w:val="009629B1"/>
    <w:rsid w:val="00962CD1"/>
    <w:rsid w:val="00963013"/>
    <w:rsid w:val="009630E9"/>
    <w:rsid w:val="00963BDA"/>
    <w:rsid w:val="00964982"/>
    <w:rsid w:val="00964E67"/>
    <w:rsid w:val="00964EAB"/>
    <w:rsid w:val="00964F21"/>
    <w:rsid w:val="009650A1"/>
    <w:rsid w:val="009658BC"/>
    <w:rsid w:val="0096593E"/>
    <w:rsid w:val="00965B37"/>
    <w:rsid w:val="00965DB2"/>
    <w:rsid w:val="0096602D"/>
    <w:rsid w:val="0096610D"/>
    <w:rsid w:val="00966215"/>
    <w:rsid w:val="00966288"/>
    <w:rsid w:val="00966505"/>
    <w:rsid w:val="0096684A"/>
    <w:rsid w:val="00966865"/>
    <w:rsid w:val="00966C8D"/>
    <w:rsid w:val="00966E6A"/>
    <w:rsid w:val="00967435"/>
    <w:rsid w:val="009677FF"/>
    <w:rsid w:val="00967CF2"/>
    <w:rsid w:val="00967FEB"/>
    <w:rsid w:val="00970191"/>
    <w:rsid w:val="00970862"/>
    <w:rsid w:val="00970877"/>
    <w:rsid w:val="009708F9"/>
    <w:rsid w:val="00970C85"/>
    <w:rsid w:val="00972301"/>
    <w:rsid w:val="0097264E"/>
    <w:rsid w:val="00972920"/>
    <w:rsid w:val="00972A46"/>
    <w:rsid w:val="009734CC"/>
    <w:rsid w:val="009736E6"/>
    <w:rsid w:val="0097378C"/>
    <w:rsid w:val="00973A5B"/>
    <w:rsid w:val="00973B86"/>
    <w:rsid w:val="00973E10"/>
    <w:rsid w:val="00974142"/>
    <w:rsid w:val="00974318"/>
    <w:rsid w:val="0097457F"/>
    <w:rsid w:val="0097460E"/>
    <w:rsid w:val="0097467E"/>
    <w:rsid w:val="0097471A"/>
    <w:rsid w:val="009748E2"/>
    <w:rsid w:val="00974DAE"/>
    <w:rsid w:val="00975109"/>
    <w:rsid w:val="0097518B"/>
    <w:rsid w:val="00975393"/>
    <w:rsid w:val="0097542F"/>
    <w:rsid w:val="009754EF"/>
    <w:rsid w:val="00975646"/>
    <w:rsid w:val="00975720"/>
    <w:rsid w:val="00975DFD"/>
    <w:rsid w:val="0097607E"/>
    <w:rsid w:val="0097695D"/>
    <w:rsid w:val="00976A58"/>
    <w:rsid w:val="00976AB5"/>
    <w:rsid w:val="00976BCA"/>
    <w:rsid w:val="00977088"/>
    <w:rsid w:val="0097731E"/>
    <w:rsid w:val="0097738B"/>
    <w:rsid w:val="009773B8"/>
    <w:rsid w:val="0097747A"/>
    <w:rsid w:val="009778F9"/>
    <w:rsid w:val="009779F4"/>
    <w:rsid w:val="00977BCB"/>
    <w:rsid w:val="00977C5C"/>
    <w:rsid w:val="00977EBA"/>
    <w:rsid w:val="00980059"/>
    <w:rsid w:val="00980186"/>
    <w:rsid w:val="00980443"/>
    <w:rsid w:val="00980460"/>
    <w:rsid w:val="009806ED"/>
    <w:rsid w:val="009807E7"/>
    <w:rsid w:val="00980A99"/>
    <w:rsid w:val="00980B1E"/>
    <w:rsid w:val="00980E95"/>
    <w:rsid w:val="00980FEA"/>
    <w:rsid w:val="009811DC"/>
    <w:rsid w:val="0098174E"/>
    <w:rsid w:val="00981789"/>
    <w:rsid w:val="00981791"/>
    <w:rsid w:val="00981ADC"/>
    <w:rsid w:val="00981AEB"/>
    <w:rsid w:val="00981B22"/>
    <w:rsid w:val="00981C20"/>
    <w:rsid w:val="00981CFF"/>
    <w:rsid w:val="00982095"/>
    <w:rsid w:val="0098210F"/>
    <w:rsid w:val="00982312"/>
    <w:rsid w:val="00982507"/>
    <w:rsid w:val="00982523"/>
    <w:rsid w:val="0098274A"/>
    <w:rsid w:val="00982829"/>
    <w:rsid w:val="00982AC4"/>
    <w:rsid w:val="00982EC3"/>
    <w:rsid w:val="00983295"/>
    <w:rsid w:val="00983370"/>
    <w:rsid w:val="009835C5"/>
    <w:rsid w:val="00983808"/>
    <w:rsid w:val="00983884"/>
    <w:rsid w:val="00983B64"/>
    <w:rsid w:val="0098471C"/>
    <w:rsid w:val="009849AB"/>
    <w:rsid w:val="00984B9B"/>
    <w:rsid w:val="00984DBF"/>
    <w:rsid w:val="00984DC6"/>
    <w:rsid w:val="009850A7"/>
    <w:rsid w:val="009852D3"/>
    <w:rsid w:val="00985D73"/>
    <w:rsid w:val="00985D9A"/>
    <w:rsid w:val="00985FD2"/>
    <w:rsid w:val="009860D7"/>
    <w:rsid w:val="0098622B"/>
    <w:rsid w:val="00986270"/>
    <w:rsid w:val="0098674E"/>
    <w:rsid w:val="00986A73"/>
    <w:rsid w:val="00986B1C"/>
    <w:rsid w:val="00986E07"/>
    <w:rsid w:val="00987021"/>
    <w:rsid w:val="009871B9"/>
    <w:rsid w:val="0098726A"/>
    <w:rsid w:val="00987609"/>
    <w:rsid w:val="009878C6"/>
    <w:rsid w:val="0098794E"/>
    <w:rsid w:val="00987EFE"/>
    <w:rsid w:val="00990088"/>
    <w:rsid w:val="009900F9"/>
    <w:rsid w:val="00990425"/>
    <w:rsid w:val="009904A2"/>
    <w:rsid w:val="009906F4"/>
    <w:rsid w:val="0099070B"/>
    <w:rsid w:val="00990960"/>
    <w:rsid w:val="00990A1C"/>
    <w:rsid w:val="00990B50"/>
    <w:rsid w:val="00990E33"/>
    <w:rsid w:val="00991287"/>
    <w:rsid w:val="00991832"/>
    <w:rsid w:val="0099196F"/>
    <w:rsid w:val="00991A07"/>
    <w:rsid w:val="00991AF8"/>
    <w:rsid w:val="00991CA2"/>
    <w:rsid w:val="00991E65"/>
    <w:rsid w:val="009921AA"/>
    <w:rsid w:val="00992246"/>
    <w:rsid w:val="00992289"/>
    <w:rsid w:val="00992366"/>
    <w:rsid w:val="009925CE"/>
    <w:rsid w:val="00992601"/>
    <w:rsid w:val="00992729"/>
    <w:rsid w:val="009927BF"/>
    <w:rsid w:val="009929EF"/>
    <w:rsid w:val="00992DEB"/>
    <w:rsid w:val="0099306B"/>
    <w:rsid w:val="0099322A"/>
    <w:rsid w:val="009932A0"/>
    <w:rsid w:val="00993390"/>
    <w:rsid w:val="00993772"/>
    <w:rsid w:val="00993CA0"/>
    <w:rsid w:val="009943CF"/>
    <w:rsid w:val="00994486"/>
    <w:rsid w:val="00994671"/>
    <w:rsid w:val="0099471C"/>
    <w:rsid w:val="00994743"/>
    <w:rsid w:val="00994857"/>
    <w:rsid w:val="0099485C"/>
    <w:rsid w:val="00994888"/>
    <w:rsid w:val="00994A2C"/>
    <w:rsid w:val="00994E34"/>
    <w:rsid w:val="00994E59"/>
    <w:rsid w:val="00994EF8"/>
    <w:rsid w:val="009951CB"/>
    <w:rsid w:val="009954C7"/>
    <w:rsid w:val="00995706"/>
    <w:rsid w:val="00995831"/>
    <w:rsid w:val="00995E1B"/>
    <w:rsid w:val="00995E7F"/>
    <w:rsid w:val="00995ED4"/>
    <w:rsid w:val="009961B1"/>
    <w:rsid w:val="0099642C"/>
    <w:rsid w:val="009965D5"/>
    <w:rsid w:val="009966B3"/>
    <w:rsid w:val="00996C0D"/>
    <w:rsid w:val="00996DE1"/>
    <w:rsid w:val="00996E91"/>
    <w:rsid w:val="0099712E"/>
    <w:rsid w:val="00997317"/>
    <w:rsid w:val="0099732A"/>
    <w:rsid w:val="00997545"/>
    <w:rsid w:val="00997638"/>
    <w:rsid w:val="009977D4"/>
    <w:rsid w:val="00997921"/>
    <w:rsid w:val="009A0651"/>
    <w:rsid w:val="009A0C81"/>
    <w:rsid w:val="009A0C85"/>
    <w:rsid w:val="009A0ED8"/>
    <w:rsid w:val="009A15CB"/>
    <w:rsid w:val="009A1ADC"/>
    <w:rsid w:val="009A1D82"/>
    <w:rsid w:val="009A1E02"/>
    <w:rsid w:val="009A2501"/>
    <w:rsid w:val="009A2684"/>
    <w:rsid w:val="009A277A"/>
    <w:rsid w:val="009A2970"/>
    <w:rsid w:val="009A2A70"/>
    <w:rsid w:val="009A2B30"/>
    <w:rsid w:val="009A2BF0"/>
    <w:rsid w:val="009A2C39"/>
    <w:rsid w:val="009A2E59"/>
    <w:rsid w:val="009A2EEE"/>
    <w:rsid w:val="009A2F29"/>
    <w:rsid w:val="009A2F40"/>
    <w:rsid w:val="009A312C"/>
    <w:rsid w:val="009A31D7"/>
    <w:rsid w:val="009A35E9"/>
    <w:rsid w:val="009A36DE"/>
    <w:rsid w:val="009A385E"/>
    <w:rsid w:val="009A39C5"/>
    <w:rsid w:val="009A3A25"/>
    <w:rsid w:val="009A3AD8"/>
    <w:rsid w:val="009A3C03"/>
    <w:rsid w:val="009A3D42"/>
    <w:rsid w:val="009A3F71"/>
    <w:rsid w:val="009A41C1"/>
    <w:rsid w:val="009A4784"/>
    <w:rsid w:val="009A49A2"/>
    <w:rsid w:val="009A4D22"/>
    <w:rsid w:val="009A4DCF"/>
    <w:rsid w:val="009A50F9"/>
    <w:rsid w:val="009A52EA"/>
    <w:rsid w:val="009A563A"/>
    <w:rsid w:val="009A5B23"/>
    <w:rsid w:val="009A6049"/>
    <w:rsid w:val="009A6501"/>
    <w:rsid w:val="009A6527"/>
    <w:rsid w:val="009A6973"/>
    <w:rsid w:val="009A6AF4"/>
    <w:rsid w:val="009A6DD8"/>
    <w:rsid w:val="009A74C2"/>
    <w:rsid w:val="009A7534"/>
    <w:rsid w:val="009A7826"/>
    <w:rsid w:val="009A78E5"/>
    <w:rsid w:val="009A7A40"/>
    <w:rsid w:val="009A7B03"/>
    <w:rsid w:val="009A7C3E"/>
    <w:rsid w:val="009B0958"/>
    <w:rsid w:val="009B0D49"/>
    <w:rsid w:val="009B0DBD"/>
    <w:rsid w:val="009B0F64"/>
    <w:rsid w:val="009B13C7"/>
    <w:rsid w:val="009B1EE2"/>
    <w:rsid w:val="009B1F87"/>
    <w:rsid w:val="009B2431"/>
    <w:rsid w:val="009B298B"/>
    <w:rsid w:val="009B2B2F"/>
    <w:rsid w:val="009B2F8E"/>
    <w:rsid w:val="009B3017"/>
    <w:rsid w:val="009B30A3"/>
    <w:rsid w:val="009B32E2"/>
    <w:rsid w:val="009B345D"/>
    <w:rsid w:val="009B35AD"/>
    <w:rsid w:val="009B369E"/>
    <w:rsid w:val="009B36F7"/>
    <w:rsid w:val="009B37C1"/>
    <w:rsid w:val="009B383D"/>
    <w:rsid w:val="009B3910"/>
    <w:rsid w:val="009B3CAD"/>
    <w:rsid w:val="009B406D"/>
    <w:rsid w:val="009B4133"/>
    <w:rsid w:val="009B41B6"/>
    <w:rsid w:val="009B44A0"/>
    <w:rsid w:val="009B4631"/>
    <w:rsid w:val="009B4726"/>
    <w:rsid w:val="009B481A"/>
    <w:rsid w:val="009B48BF"/>
    <w:rsid w:val="009B4B6D"/>
    <w:rsid w:val="009B4BA5"/>
    <w:rsid w:val="009B4D06"/>
    <w:rsid w:val="009B4E0D"/>
    <w:rsid w:val="009B4FB6"/>
    <w:rsid w:val="009B5142"/>
    <w:rsid w:val="009B5375"/>
    <w:rsid w:val="009B5B2C"/>
    <w:rsid w:val="009B61F5"/>
    <w:rsid w:val="009B634C"/>
    <w:rsid w:val="009B6A5F"/>
    <w:rsid w:val="009B6B55"/>
    <w:rsid w:val="009B6FB6"/>
    <w:rsid w:val="009B72BC"/>
    <w:rsid w:val="009B79BE"/>
    <w:rsid w:val="009B79DD"/>
    <w:rsid w:val="009B7AEA"/>
    <w:rsid w:val="009C03BE"/>
    <w:rsid w:val="009C044D"/>
    <w:rsid w:val="009C063E"/>
    <w:rsid w:val="009C133C"/>
    <w:rsid w:val="009C15A7"/>
    <w:rsid w:val="009C190D"/>
    <w:rsid w:val="009C1DBD"/>
    <w:rsid w:val="009C1DEC"/>
    <w:rsid w:val="009C201C"/>
    <w:rsid w:val="009C201F"/>
    <w:rsid w:val="009C2386"/>
    <w:rsid w:val="009C2811"/>
    <w:rsid w:val="009C2A0C"/>
    <w:rsid w:val="009C3104"/>
    <w:rsid w:val="009C3404"/>
    <w:rsid w:val="009C3449"/>
    <w:rsid w:val="009C3721"/>
    <w:rsid w:val="009C3ADB"/>
    <w:rsid w:val="009C3EE1"/>
    <w:rsid w:val="009C3FD9"/>
    <w:rsid w:val="009C4349"/>
    <w:rsid w:val="009C43CC"/>
    <w:rsid w:val="009C4540"/>
    <w:rsid w:val="009C465D"/>
    <w:rsid w:val="009C4728"/>
    <w:rsid w:val="009C4A04"/>
    <w:rsid w:val="009C4AB6"/>
    <w:rsid w:val="009C4F02"/>
    <w:rsid w:val="009C4FD2"/>
    <w:rsid w:val="009C4FDB"/>
    <w:rsid w:val="009C5093"/>
    <w:rsid w:val="009C513B"/>
    <w:rsid w:val="009C538A"/>
    <w:rsid w:val="009C57A8"/>
    <w:rsid w:val="009C589A"/>
    <w:rsid w:val="009C5A1B"/>
    <w:rsid w:val="009C5D43"/>
    <w:rsid w:val="009C5E87"/>
    <w:rsid w:val="009C6081"/>
    <w:rsid w:val="009C6174"/>
    <w:rsid w:val="009C6391"/>
    <w:rsid w:val="009C64AC"/>
    <w:rsid w:val="009C6519"/>
    <w:rsid w:val="009C6A7B"/>
    <w:rsid w:val="009C6EDA"/>
    <w:rsid w:val="009C6FCB"/>
    <w:rsid w:val="009C70C5"/>
    <w:rsid w:val="009C7131"/>
    <w:rsid w:val="009C7370"/>
    <w:rsid w:val="009C7461"/>
    <w:rsid w:val="009C7547"/>
    <w:rsid w:val="009C7912"/>
    <w:rsid w:val="009D026D"/>
    <w:rsid w:val="009D03FA"/>
    <w:rsid w:val="009D04FB"/>
    <w:rsid w:val="009D0A91"/>
    <w:rsid w:val="009D0BD5"/>
    <w:rsid w:val="009D0C30"/>
    <w:rsid w:val="009D101A"/>
    <w:rsid w:val="009D1120"/>
    <w:rsid w:val="009D12F4"/>
    <w:rsid w:val="009D1487"/>
    <w:rsid w:val="009D1534"/>
    <w:rsid w:val="009D158A"/>
    <w:rsid w:val="009D19AF"/>
    <w:rsid w:val="009D1B42"/>
    <w:rsid w:val="009D1EBD"/>
    <w:rsid w:val="009D219F"/>
    <w:rsid w:val="009D233C"/>
    <w:rsid w:val="009D24EF"/>
    <w:rsid w:val="009D24F4"/>
    <w:rsid w:val="009D27B5"/>
    <w:rsid w:val="009D330E"/>
    <w:rsid w:val="009D35BD"/>
    <w:rsid w:val="009D3A75"/>
    <w:rsid w:val="009D3AC9"/>
    <w:rsid w:val="009D3C84"/>
    <w:rsid w:val="009D3D1B"/>
    <w:rsid w:val="009D3E08"/>
    <w:rsid w:val="009D3E28"/>
    <w:rsid w:val="009D3F26"/>
    <w:rsid w:val="009D3F2A"/>
    <w:rsid w:val="009D3F89"/>
    <w:rsid w:val="009D400C"/>
    <w:rsid w:val="009D40B1"/>
    <w:rsid w:val="009D4248"/>
    <w:rsid w:val="009D44E9"/>
    <w:rsid w:val="009D4561"/>
    <w:rsid w:val="009D4596"/>
    <w:rsid w:val="009D4660"/>
    <w:rsid w:val="009D4872"/>
    <w:rsid w:val="009D4888"/>
    <w:rsid w:val="009D4A2C"/>
    <w:rsid w:val="009D4C83"/>
    <w:rsid w:val="009D4C8F"/>
    <w:rsid w:val="009D4FD0"/>
    <w:rsid w:val="009D5144"/>
    <w:rsid w:val="009D54E4"/>
    <w:rsid w:val="009D5593"/>
    <w:rsid w:val="009D573A"/>
    <w:rsid w:val="009D5D3C"/>
    <w:rsid w:val="009D60B5"/>
    <w:rsid w:val="009D6302"/>
    <w:rsid w:val="009D64DF"/>
    <w:rsid w:val="009D6910"/>
    <w:rsid w:val="009D697E"/>
    <w:rsid w:val="009D6E34"/>
    <w:rsid w:val="009D6F2A"/>
    <w:rsid w:val="009D70AD"/>
    <w:rsid w:val="009D7621"/>
    <w:rsid w:val="009D76F6"/>
    <w:rsid w:val="009D7760"/>
    <w:rsid w:val="009D777F"/>
    <w:rsid w:val="009D7BC6"/>
    <w:rsid w:val="009D7C7C"/>
    <w:rsid w:val="009D7F40"/>
    <w:rsid w:val="009D7FBC"/>
    <w:rsid w:val="009E006D"/>
    <w:rsid w:val="009E0351"/>
    <w:rsid w:val="009E047F"/>
    <w:rsid w:val="009E0A48"/>
    <w:rsid w:val="009E0B2E"/>
    <w:rsid w:val="009E0BEF"/>
    <w:rsid w:val="009E0CD3"/>
    <w:rsid w:val="009E0E87"/>
    <w:rsid w:val="009E0F9F"/>
    <w:rsid w:val="009E15B7"/>
    <w:rsid w:val="009E1696"/>
    <w:rsid w:val="009E18ED"/>
    <w:rsid w:val="009E1A0E"/>
    <w:rsid w:val="009E1ABE"/>
    <w:rsid w:val="009E1E82"/>
    <w:rsid w:val="009E1EB6"/>
    <w:rsid w:val="009E2333"/>
    <w:rsid w:val="009E297F"/>
    <w:rsid w:val="009E2CF4"/>
    <w:rsid w:val="009E303E"/>
    <w:rsid w:val="009E3206"/>
    <w:rsid w:val="009E32AC"/>
    <w:rsid w:val="009E33C1"/>
    <w:rsid w:val="009E3590"/>
    <w:rsid w:val="009E3895"/>
    <w:rsid w:val="009E3932"/>
    <w:rsid w:val="009E3B0B"/>
    <w:rsid w:val="009E3EEA"/>
    <w:rsid w:val="009E3F2F"/>
    <w:rsid w:val="009E42B9"/>
    <w:rsid w:val="009E43CB"/>
    <w:rsid w:val="009E45CE"/>
    <w:rsid w:val="009E4B02"/>
    <w:rsid w:val="009E4D0D"/>
    <w:rsid w:val="009E51AD"/>
    <w:rsid w:val="009E54A2"/>
    <w:rsid w:val="009E54C0"/>
    <w:rsid w:val="009E567F"/>
    <w:rsid w:val="009E56F7"/>
    <w:rsid w:val="009E58D2"/>
    <w:rsid w:val="009E58F9"/>
    <w:rsid w:val="009E590A"/>
    <w:rsid w:val="009E60FD"/>
    <w:rsid w:val="009E61D2"/>
    <w:rsid w:val="009E6329"/>
    <w:rsid w:val="009E6355"/>
    <w:rsid w:val="009E635A"/>
    <w:rsid w:val="009E6424"/>
    <w:rsid w:val="009E651F"/>
    <w:rsid w:val="009E673F"/>
    <w:rsid w:val="009E682E"/>
    <w:rsid w:val="009E68CC"/>
    <w:rsid w:val="009E6AE3"/>
    <w:rsid w:val="009E6EC8"/>
    <w:rsid w:val="009E6F6A"/>
    <w:rsid w:val="009E74F0"/>
    <w:rsid w:val="009E77C8"/>
    <w:rsid w:val="009E7946"/>
    <w:rsid w:val="009E7B08"/>
    <w:rsid w:val="009E7EAD"/>
    <w:rsid w:val="009F049C"/>
    <w:rsid w:val="009F07AC"/>
    <w:rsid w:val="009F07CB"/>
    <w:rsid w:val="009F098D"/>
    <w:rsid w:val="009F1206"/>
    <w:rsid w:val="009F1364"/>
    <w:rsid w:val="009F1464"/>
    <w:rsid w:val="009F1F35"/>
    <w:rsid w:val="009F2C5C"/>
    <w:rsid w:val="009F32F5"/>
    <w:rsid w:val="009F3351"/>
    <w:rsid w:val="009F337E"/>
    <w:rsid w:val="009F3898"/>
    <w:rsid w:val="009F38D0"/>
    <w:rsid w:val="009F3A5D"/>
    <w:rsid w:val="009F3B16"/>
    <w:rsid w:val="009F3D2C"/>
    <w:rsid w:val="009F4152"/>
    <w:rsid w:val="009F4194"/>
    <w:rsid w:val="009F41B8"/>
    <w:rsid w:val="009F43FF"/>
    <w:rsid w:val="009F465D"/>
    <w:rsid w:val="009F46BB"/>
    <w:rsid w:val="009F47FC"/>
    <w:rsid w:val="009F4922"/>
    <w:rsid w:val="009F4CD1"/>
    <w:rsid w:val="009F52CC"/>
    <w:rsid w:val="009F5394"/>
    <w:rsid w:val="009F54F4"/>
    <w:rsid w:val="009F55E9"/>
    <w:rsid w:val="009F56DB"/>
    <w:rsid w:val="009F5AAB"/>
    <w:rsid w:val="009F5B11"/>
    <w:rsid w:val="009F5BA9"/>
    <w:rsid w:val="009F61B4"/>
    <w:rsid w:val="009F628E"/>
    <w:rsid w:val="009F6606"/>
    <w:rsid w:val="009F674F"/>
    <w:rsid w:val="009F694D"/>
    <w:rsid w:val="009F6AC7"/>
    <w:rsid w:val="009F70AD"/>
    <w:rsid w:val="009F71B2"/>
    <w:rsid w:val="009F72C4"/>
    <w:rsid w:val="009F753C"/>
    <w:rsid w:val="009F756D"/>
    <w:rsid w:val="009F77D5"/>
    <w:rsid w:val="009F7D1A"/>
    <w:rsid w:val="00A000C5"/>
    <w:rsid w:val="00A000F5"/>
    <w:rsid w:val="00A004E2"/>
    <w:rsid w:val="00A00EDD"/>
    <w:rsid w:val="00A016F8"/>
    <w:rsid w:val="00A029B0"/>
    <w:rsid w:val="00A02A58"/>
    <w:rsid w:val="00A02B2C"/>
    <w:rsid w:val="00A03123"/>
    <w:rsid w:val="00A03579"/>
    <w:rsid w:val="00A0367C"/>
    <w:rsid w:val="00A039D8"/>
    <w:rsid w:val="00A03B25"/>
    <w:rsid w:val="00A03BDD"/>
    <w:rsid w:val="00A03D3F"/>
    <w:rsid w:val="00A03DA8"/>
    <w:rsid w:val="00A0404C"/>
    <w:rsid w:val="00A04132"/>
    <w:rsid w:val="00A042CB"/>
    <w:rsid w:val="00A0432D"/>
    <w:rsid w:val="00A04655"/>
    <w:rsid w:val="00A04A78"/>
    <w:rsid w:val="00A04FEC"/>
    <w:rsid w:val="00A05020"/>
    <w:rsid w:val="00A054AE"/>
    <w:rsid w:val="00A0571E"/>
    <w:rsid w:val="00A057A8"/>
    <w:rsid w:val="00A05ADE"/>
    <w:rsid w:val="00A05DE2"/>
    <w:rsid w:val="00A05EDE"/>
    <w:rsid w:val="00A05F14"/>
    <w:rsid w:val="00A061C5"/>
    <w:rsid w:val="00A06820"/>
    <w:rsid w:val="00A06AD7"/>
    <w:rsid w:val="00A07567"/>
    <w:rsid w:val="00A07722"/>
    <w:rsid w:val="00A07969"/>
    <w:rsid w:val="00A07C4D"/>
    <w:rsid w:val="00A07CF8"/>
    <w:rsid w:val="00A07D3F"/>
    <w:rsid w:val="00A07E04"/>
    <w:rsid w:val="00A07E6C"/>
    <w:rsid w:val="00A07F57"/>
    <w:rsid w:val="00A1009E"/>
    <w:rsid w:val="00A102D3"/>
    <w:rsid w:val="00A10382"/>
    <w:rsid w:val="00A10427"/>
    <w:rsid w:val="00A10430"/>
    <w:rsid w:val="00A10496"/>
    <w:rsid w:val="00A10CE1"/>
    <w:rsid w:val="00A110A4"/>
    <w:rsid w:val="00A110E4"/>
    <w:rsid w:val="00A112DA"/>
    <w:rsid w:val="00A113E0"/>
    <w:rsid w:val="00A116B5"/>
    <w:rsid w:val="00A11979"/>
    <w:rsid w:val="00A11E91"/>
    <w:rsid w:val="00A11F8D"/>
    <w:rsid w:val="00A12062"/>
    <w:rsid w:val="00A121CA"/>
    <w:rsid w:val="00A124AF"/>
    <w:rsid w:val="00A126A4"/>
    <w:rsid w:val="00A126C1"/>
    <w:rsid w:val="00A12A92"/>
    <w:rsid w:val="00A12BAC"/>
    <w:rsid w:val="00A12E3C"/>
    <w:rsid w:val="00A138CF"/>
    <w:rsid w:val="00A13A3A"/>
    <w:rsid w:val="00A13CF2"/>
    <w:rsid w:val="00A1424E"/>
    <w:rsid w:val="00A14353"/>
    <w:rsid w:val="00A143DF"/>
    <w:rsid w:val="00A14528"/>
    <w:rsid w:val="00A1461A"/>
    <w:rsid w:val="00A1495A"/>
    <w:rsid w:val="00A14B75"/>
    <w:rsid w:val="00A14CC4"/>
    <w:rsid w:val="00A14DAD"/>
    <w:rsid w:val="00A1511E"/>
    <w:rsid w:val="00A15F6E"/>
    <w:rsid w:val="00A15F78"/>
    <w:rsid w:val="00A1613E"/>
    <w:rsid w:val="00A16969"/>
    <w:rsid w:val="00A16A53"/>
    <w:rsid w:val="00A16BAC"/>
    <w:rsid w:val="00A1710D"/>
    <w:rsid w:val="00A172C3"/>
    <w:rsid w:val="00A1740B"/>
    <w:rsid w:val="00A17416"/>
    <w:rsid w:val="00A1786A"/>
    <w:rsid w:val="00A17B0F"/>
    <w:rsid w:val="00A17B38"/>
    <w:rsid w:val="00A17C0C"/>
    <w:rsid w:val="00A17E20"/>
    <w:rsid w:val="00A17F88"/>
    <w:rsid w:val="00A20059"/>
    <w:rsid w:val="00A20A42"/>
    <w:rsid w:val="00A20A6D"/>
    <w:rsid w:val="00A20ADE"/>
    <w:rsid w:val="00A211D4"/>
    <w:rsid w:val="00A211E9"/>
    <w:rsid w:val="00A212E2"/>
    <w:rsid w:val="00A213FD"/>
    <w:rsid w:val="00A21C80"/>
    <w:rsid w:val="00A21D2E"/>
    <w:rsid w:val="00A21EDC"/>
    <w:rsid w:val="00A22469"/>
    <w:rsid w:val="00A22541"/>
    <w:rsid w:val="00A22630"/>
    <w:rsid w:val="00A22860"/>
    <w:rsid w:val="00A22D0B"/>
    <w:rsid w:val="00A22E3D"/>
    <w:rsid w:val="00A22FFE"/>
    <w:rsid w:val="00A23118"/>
    <w:rsid w:val="00A23272"/>
    <w:rsid w:val="00A232EF"/>
    <w:rsid w:val="00A2365B"/>
    <w:rsid w:val="00A237BB"/>
    <w:rsid w:val="00A2382B"/>
    <w:rsid w:val="00A23BCF"/>
    <w:rsid w:val="00A24039"/>
    <w:rsid w:val="00A2404C"/>
    <w:rsid w:val="00A242E0"/>
    <w:rsid w:val="00A24A97"/>
    <w:rsid w:val="00A24B2E"/>
    <w:rsid w:val="00A24C63"/>
    <w:rsid w:val="00A2501E"/>
    <w:rsid w:val="00A25195"/>
    <w:rsid w:val="00A25308"/>
    <w:rsid w:val="00A25340"/>
    <w:rsid w:val="00A25BD8"/>
    <w:rsid w:val="00A260A2"/>
    <w:rsid w:val="00A262C3"/>
    <w:rsid w:val="00A267A4"/>
    <w:rsid w:val="00A2689F"/>
    <w:rsid w:val="00A26AF6"/>
    <w:rsid w:val="00A26D84"/>
    <w:rsid w:val="00A26DA2"/>
    <w:rsid w:val="00A2739E"/>
    <w:rsid w:val="00A273E3"/>
    <w:rsid w:val="00A27409"/>
    <w:rsid w:val="00A27707"/>
    <w:rsid w:val="00A277F3"/>
    <w:rsid w:val="00A2797B"/>
    <w:rsid w:val="00A279A8"/>
    <w:rsid w:val="00A27C1C"/>
    <w:rsid w:val="00A30411"/>
    <w:rsid w:val="00A30528"/>
    <w:rsid w:val="00A308D3"/>
    <w:rsid w:val="00A311F7"/>
    <w:rsid w:val="00A312A0"/>
    <w:rsid w:val="00A31760"/>
    <w:rsid w:val="00A3187F"/>
    <w:rsid w:val="00A318D8"/>
    <w:rsid w:val="00A319E3"/>
    <w:rsid w:val="00A31CC5"/>
    <w:rsid w:val="00A31FCB"/>
    <w:rsid w:val="00A32134"/>
    <w:rsid w:val="00A321A2"/>
    <w:rsid w:val="00A3220B"/>
    <w:rsid w:val="00A3239B"/>
    <w:rsid w:val="00A32450"/>
    <w:rsid w:val="00A32605"/>
    <w:rsid w:val="00A32707"/>
    <w:rsid w:val="00A32902"/>
    <w:rsid w:val="00A32A51"/>
    <w:rsid w:val="00A338D7"/>
    <w:rsid w:val="00A3459B"/>
    <w:rsid w:val="00A345FF"/>
    <w:rsid w:val="00A348E3"/>
    <w:rsid w:val="00A34A11"/>
    <w:rsid w:val="00A34ABE"/>
    <w:rsid w:val="00A3507E"/>
    <w:rsid w:val="00A355D3"/>
    <w:rsid w:val="00A35678"/>
    <w:rsid w:val="00A360CF"/>
    <w:rsid w:val="00A361A2"/>
    <w:rsid w:val="00A36D79"/>
    <w:rsid w:val="00A36EA7"/>
    <w:rsid w:val="00A36FD0"/>
    <w:rsid w:val="00A3725A"/>
    <w:rsid w:val="00A373AB"/>
    <w:rsid w:val="00A37520"/>
    <w:rsid w:val="00A3768B"/>
    <w:rsid w:val="00A3773C"/>
    <w:rsid w:val="00A3779F"/>
    <w:rsid w:val="00A37B9B"/>
    <w:rsid w:val="00A37BC9"/>
    <w:rsid w:val="00A37BF5"/>
    <w:rsid w:val="00A37D39"/>
    <w:rsid w:val="00A37DED"/>
    <w:rsid w:val="00A37F46"/>
    <w:rsid w:val="00A37FB1"/>
    <w:rsid w:val="00A40381"/>
    <w:rsid w:val="00A40997"/>
    <w:rsid w:val="00A40A99"/>
    <w:rsid w:val="00A40AB9"/>
    <w:rsid w:val="00A40B3D"/>
    <w:rsid w:val="00A40DE8"/>
    <w:rsid w:val="00A41026"/>
    <w:rsid w:val="00A4125B"/>
    <w:rsid w:val="00A412ED"/>
    <w:rsid w:val="00A413DA"/>
    <w:rsid w:val="00A4159B"/>
    <w:rsid w:val="00A415D3"/>
    <w:rsid w:val="00A417F0"/>
    <w:rsid w:val="00A417F8"/>
    <w:rsid w:val="00A41819"/>
    <w:rsid w:val="00A41858"/>
    <w:rsid w:val="00A41B52"/>
    <w:rsid w:val="00A41BEB"/>
    <w:rsid w:val="00A42392"/>
    <w:rsid w:val="00A42653"/>
    <w:rsid w:val="00A426AC"/>
    <w:rsid w:val="00A42859"/>
    <w:rsid w:val="00A429D9"/>
    <w:rsid w:val="00A42AB0"/>
    <w:rsid w:val="00A42BBE"/>
    <w:rsid w:val="00A42BEA"/>
    <w:rsid w:val="00A42D1A"/>
    <w:rsid w:val="00A42E74"/>
    <w:rsid w:val="00A42FDE"/>
    <w:rsid w:val="00A43143"/>
    <w:rsid w:val="00A431DE"/>
    <w:rsid w:val="00A43317"/>
    <w:rsid w:val="00A436EA"/>
    <w:rsid w:val="00A43768"/>
    <w:rsid w:val="00A437A0"/>
    <w:rsid w:val="00A43A07"/>
    <w:rsid w:val="00A44006"/>
    <w:rsid w:val="00A4416A"/>
    <w:rsid w:val="00A444F8"/>
    <w:rsid w:val="00A447DC"/>
    <w:rsid w:val="00A447E6"/>
    <w:rsid w:val="00A44C5B"/>
    <w:rsid w:val="00A45233"/>
    <w:rsid w:val="00A45242"/>
    <w:rsid w:val="00A452BA"/>
    <w:rsid w:val="00A452F2"/>
    <w:rsid w:val="00A453B3"/>
    <w:rsid w:val="00A454FB"/>
    <w:rsid w:val="00A455DC"/>
    <w:rsid w:val="00A45836"/>
    <w:rsid w:val="00A459FC"/>
    <w:rsid w:val="00A45E9B"/>
    <w:rsid w:val="00A45FA2"/>
    <w:rsid w:val="00A4647C"/>
    <w:rsid w:val="00A46BE8"/>
    <w:rsid w:val="00A46E47"/>
    <w:rsid w:val="00A46E7A"/>
    <w:rsid w:val="00A4706F"/>
    <w:rsid w:val="00A470C4"/>
    <w:rsid w:val="00A471D4"/>
    <w:rsid w:val="00A472D7"/>
    <w:rsid w:val="00A47326"/>
    <w:rsid w:val="00A47501"/>
    <w:rsid w:val="00A47803"/>
    <w:rsid w:val="00A47957"/>
    <w:rsid w:val="00A47982"/>
    <w:rsid w:val="00A47E33"/>
    <w:rsid w:val="00A47E70"/>
    <w:rsid w:val="00A501F2"/>
    <w:rsid w:val="00A502E0"/>
    <w:rsid w:val="00A5033E"/>
    <w:rsid w:val="00A5058D"/>
    <w:rsid w:val="00A505B1"/>
    <w:rsid w:val="00A50916"/>
    <w:rsid w:val="00A509D5"/>
    <w:rsid w:val="00A50A6A"/>
    <w:rsid w:val="00A50ADC"/>
    <w:rsid w:val="00A50BE6"/>
    <w:rsid w:val="00A50FC4"/>
    <w:rsid w:val="00A51387"/>
    <w:rsid w:val="00A5141C"/>
    <w:rsid w:val="00A514FB"/>
    <w:rsid w:val="00A51696"/>
    <w:rsid w:val="00A5179B"/>
    <w:rsid w:val="00A518BD"/>
    <w:rsid w:val="00A51FD9"/>
    <w:rsid w:val="00A521EB"/>
    <w:rsid w:val="00A5238D"/>
    <w:rsid w:val="00A525C1"/>
    <w:rsid w:val="00A52771"/>
    <w:rsid w:val="00A528FC"/>
    <w:rsid w:val="00A529CB"/>
    <w:rsid w:val="00A52BD1"/>
    <w:rsid w:val="00A53274"/>
    <w:rsid w:val="00A53534"/>
    <w:rsid w:val="00A53950"/>
    <w:rsid w:val="00A53A17"/>
    <w:rsid w:val="00A54101"/>
    <w:rsid w:val="00A547D8"/>
    <w:rsid w:val="00A5505F"/>
    <w:rsid w:val="00A5507E"/>
    <w:rsid w:val="00A55447"/>
    <w:rsid w:val="00A55978"/>
    <w:rsid w:val="00A559CA"/>
    <w:rsid w:val="00A55E23"/>
    <w:rsid w:val="00A55E65"/>
    <w:rsid w:val="00A55F8A"/>
    <w:rsid w:val="00A55FA1"/>
    <w:rsid w:val="00A55FD1"/>
    <w:rsid w:val="00A5611C"/>
    <w:rsid w:val="00A56187"/>
    <w:rsid w:val="00A56224"/>
    <w:rsid w:val="00A56354"/>
    <w:rsid w:val="00A5674E"/>
    <w:rsid w:val="00A5708F"/>
    <w:rsid w:val="00A57141"/>
    <w:rsid w:val="00A57409"/>
    <w:rsid w:val="00A5781B"/>
    <w:rsid w:val="00A5795F"/>
    <w:rsid w:val="00A57966"/>
    <w:rsid w:val="00A57AB2"/>
    <w:rsid w:val="00A57B20"/>
    <w:rsid w:val="00A57FF8"/>
    <w:rsid w:val="00A602FB"/>
    <w:rsid w:val="00A603CA"/>
    <w:rsid w:val="00A607F4"/>
    <w:rsid w:val="00A6087F"/>
    <w:rsid w:val="00A60AF9"/>
    <w:rsid w:val="00A613C3"/>
    <w:rsid w:val="00A61489"/>
    <w:rsid w:val="00A615B4"/>
    <w:rsid w:val="00A61615"/>
    <w:rsid w:val="00A6179C"/>
    <w:rsid w:val="00A61A9B"/>
    <w:rsid w:val="00A6209F"/>
    <w:rsid w:val="00A62298"/>
    <w:rsid w:val="00A628D9"/>
    <w:rsid w:val="00A62923"/>
    <w:rsid w:val="00A62AE2"/>
    <w:rsid w:val="00A63288"/>
    <w:rsid w:val="00A63592"/>
    <w:rsid w:val="00A63A1B"/>
    <w:rsid w:val="00A64ACC"/>
    <w:rsid w:val="00A64EA3"/>
    <w:rsid w:val="00A6502F"/>
    <w:rsid w:val="00A65564"/>
    <w:rsid w:val="00A65607"/>
    <w:rsid w:val="00A657C2"/>
    <w:rsid w:val="00A65B67"/>
    <w:rsid w:val="00A65E01"/>
    <w:rsid w:val="00A65ED3"/>
    <w:rsid w:val="00A65F49"/>
    <w:rsid w:val="00A65F7A"/>
    <w:rsid w:val="00A65FE3"/>
    <w:rsid w:val="00A66236"/>
    <w:rsid w:val="00A663FF"/>
    <w:rsid w:val="00A674CF"/>
    <w:rsid w:val="00A67A55"/>
    <w:rsid w:val="00A67B7E"/>
    <w:rsid w:val="00A67DD9"/>
    <w:rsid w:val="00A67EBB"/>
    <w:rsid w:val="00A70144"/>
    <w:rsid w:val="00A704B7"/>
    <w:rsid w:val="00A704F1"/>
    <w:rsid w:val="00A70864"/>
    <w:rsid w:val="00A70B7B"/>
    <w:rsid w:val="00A70BAB"/>
    <w:rsid w:val="00A70C7A"/>
    <w:rsid w:val="00A71170"/>
    <w:rsid w:val="00A71198"/>
    <w:rsid w:val="00A713E0"/>
    <w:rsid w:val="00A71641"/>
    <w:rsid w:val="00A716D1"/>
    <w:rsid w:val="00A71834"/>
    <w:rsid w:val="00A71F2A"/>
    <w:rsid w:val="00A7213C"/>
    <w:rsid w:val="00A72533"/>
    <w:rsid w:val="00A726B0"/>
    <w:rsid w:val="00A72720"/>
    <w:rsid w:val="00A727C8"/>
    <w:rsid w:val="00A72CA0"/>
    <w:rsid w:val="00A72CCB"/>
    <w:rsid w:val="00A72DE4"/>
    <w:rsid w:val="00A731A3"/>
    <w:rsid w:val="00A7322D"/>
    <w:rsid w:val="00A73242"/>
    <w:rsid w:val="00A7344D"/>
    <w:rsid w:val="00A73734"/>
    <w:rsid w:val="00A7396B"/>
    <w:rsid w:val="00A73CE1"/>
    <w:rsid w:val="00A73DB4"/>
    <w:rsid w:val="00A74623"/>
    <w:rsid w:val="00A747E7"/>
    <w:rsid w:val="00A748C1"/>
    <w:rsid w:val="00A749EC"/>
    <w:rsid w:val="00A74AD2"/>
    <w:rsid w:val="00A74CBB"/>
    <w:rsid w:val="00A752C2"/>
    <w:rsid w:val="00A75345"/>
    <w:rsid w:val="00A7551E"/>
    <w:rsid w:val="00A75538"/>
    <w:rsid w:val="00A7555F"/>
    <w:rsid w:val="00A757B1"/>
    <w:rsid w:val="00A75A12"/>
    <w:rsid w:val="00A75A31"/>
    <w:rsid w:val="00A75BEA"/>
    <w:rsid w:val="00A75DD1"/>
    <w:rsid w:val="00A75E5B"/>
    <w:rsid w:val="00A75EF2"/>
    <w:rsid w:val="00A76422"/>
    <w:rsid w:val="00A77041"/>
    <w:rsid w:val="00A773F3"/>
    <w:rsid w:val="00A7749D"/>
    <w:rsid w:val="00A776A1"/>
    <w:rsid w:val="00A77785"/>
    <w:rsid w:val="00A778AD"/>
    <w:rsid w:val="00A77973"/>
    <w:rsid w:val="00A77C72"/>
    <w:rsid w:val="00A77CFF"/>
    <w:rsid w:val="00A77DF3"/>
    <w:rsid w:val="00A80C0A"/>
    <w:rsid w:val="00A80D30"/>
    <w:rsid w:val="00A80E7E"/>
    <w:rsid w:val="00A81087"/>
    <w:rsid w:val="00A810B6"/>
    <w:rsid w:val="00A8141B"/>
    <w:rsid w:val="00A81596"/>
    <w:rsid w:val="00A81623"/>
    <w:rsid w:val="00A817E8"/>
    <w:rsid w:val="00A8194F"/>
    <w:rsid w:val="00A81AB2"/>
    <w:rsid w:val="00A81B74"/>
    <w:rsid w:val="00A81B86"/>
    <w:rsid w:val="00A81DA7"/>
    <w:rsid w:val="00A81DCD"/>
    <w:rsid w:val="00A82673"/>
    <w:rsid w:val="00A82C89"/>
    <w:rsid w:val="00A82F37"/>
    <w:rsid w:val="00A832B5"/>
    <w:rsid w:val="00A8374E"/>
    <w:rsid w:val="00A83B68"/>
    <w:rsid w:val="00A8403B"/>
    <w:rsid w:val="00A842C0"/>
    <w:rsid w:val="00A845DA"/>
    <w:rsid w:val="00A8477E"/>
    <w:rsid w:val="00A849AF"/>
    <w:rsid w:val="00A84AE0"/>
    <w:rsid w:val="00A85019"/>
    <w:rsid w:val="00A85378"/>
    <w:rsid w:val="00A853EF"/>
    <w:rsid w:val="00A8568E"/>
    <w:rsid w:val="00A860D7"/>
    <w:rsid w:val="00A8661C"/>
    <w:rsid w:val="00A868AC"/>
    <w:rsid w:val="00A868C1"/>
    <w:rsid w:val="00A86AFD"/>
    <w:rsid w:val="00A86B63"/>
    <w:rsid w:val="00A86D52"/>
    <w:rsid w:val="00A870EB"/>
    <w:rsid w:val="00A874F8"/>
    <w:rsid w:val="00A87603"/>
    <w:rsid w:val="00A8777F"/>
    <w:rsid w:val="00A87F87"/>
    <w:rsid w:val="00A90521"/>
    <w:rsid w:val="00A90610"/>
    <w:rsid w:val="00A907A6"/>
    <w:rsid w:val="00A90893"/>
    <w:rsid w:val="00A908AD"/>
    <w:rsid w:val="00A90953"/>
    <w:rsid w:val="00A9095E"/>
    <w:rsid w:val="00A90E57"/>
    <w:rsid w:val="00A90F3F"/>
    <w:rsid w:val="00A90F83"/>
    <w:rsid w:val="00A91554"/>
    <w:rsid w:val="00A9180E"/>
    <w:rsid w:val="00A91CE2"/>
    <w:rsid w:val="00A91E2B"/>
    <w:rsid w:val="00A91EB2"/>
    <w:rsid w:val="00A92011"/>
    <w:rsid w:val="00A92547"/>
    <w:rsid w:val="00A9259B"/>
    <w:rsid w:val="00A928FC"/>
    <w:rsid w:val="00A92B3F"/>
    <w:rsid w:val="00A92E26"/>
    <w:rsid w:val="00A92FE8"/>
    <w:rsid w:val="00A931E4"/>
    <w:rsid w:val="00A93598"/>
    <w:rsid w:val="00A93843"/>
    <w:rsid w:val="00A93A9E"/>
    <w:rsid w:val="00A93B58"/>
    <w:rsid w:val="00A93CDC"/>
    <w:rsid w:val="00A93D4A"/>
    <w:rsid w:val="00A93DAC"/>
    <w:rsid w:val="00A94DAA"/>
    <w:rsid w:val="00A94F16"/>
    <w:rsid w:val="00A950C0"/>
    <w:rsid w:val="00A95254"/>
    <w:rsid w:val="00A953F3"/>
    <w:rsid w:val="00A95427"/>
    <w:rsid w:val="00A9554D"/>
    <w:rsid w:val="00A95807"/>
    <w:rsid w:val="00A95D83"/>
    <w:rsid w:val="00A95E4D"/>
    <w:rsid w:val="00A960FB"/>
    <w:rsid w:val="00A96142"/>
    <w:rsid w:val="00A96249"/>
    <w:rsid w:val="00A9662C"/>
    <w:rsid w:val="00A96CBD"/>
    <w:rsid w:val="00A96D03"/>
    <w:rsid w:val="00A96FA5"/>
    <w:rsid w:val="00A97029"/>
    <w:rsid w:val="00A971C4"/>
    <w:rsid w:val="00A97AAC"/>
    <w:rsid w:val="00A97E1F"/>
    <w:rsid w:val="00A97EC5"/>
    <w:rsid w:val="00A97F03"/>
    <w:rsid w:val="00AA026B"/>
    <w:rsid w:val="00AA031B"/>
    <w:rsid w:val="00AA046A"/>
    <w:rsid w:val="00AA0C03"/>
    <w:rsid w:val="00AA0EB8"/>
    <w:rsid w:val="00AA11CC"/>
    <w:rsid w:val="00AA1517"/>
    <w:rsid w:val="00AA1518"/>
    <w:rsid w:val="00AA1558"/>
    <w:rsid w:val="00AA171E"/>
    <w:rsid w:val="00AA17FB"/>
    <w:rsid w:val="00AA18A6"/>
    <w:rsid w:val="00AA1AFB"/>
    <w:rsid w:val="00AA1C8D"/>
    <w:rsid w:val="00AA2549"/>
    <w:rsid w:val="00AA2BBA"/>
    <w:rsid w:val="00AA2BE8"/>
    <w:rsid w:val="00AA2CC7"/>
    <w:rsid w:val="00AA2D07"/>
    <w:rsid w:val="00AA30FA"/>
    <w:rsid w:val="00AA3678"/>
    <w:rsid w:val="00AA3A5F"/>
    <w:rsid w:val="00AA3C86"/>
    <w:rsid w:val="00AA41F3"/>
    <w:rsid w:val="00AA4430"/>
    <w:rsid w:val="00AA44F6"/>
    <w:rsid w:val="00AA4998"/>
    <w:rsid w:val="00AA4A6C"/>
    <w:rsid w:val="00AA4C01"/>
    <w:rsid w:val="00AA4D3B"/>
    <w:rsid w:val="00AA503A"/>
    <w:rsid w:val="00AA58D7"/>
    <w:rsid w:val="00AA5D2C"/>
    <w:rsid w:val="00AA5F96"/>
    <w:rsid w:val="00AA62B5"/>
    <w:rsid w:val="00AA62C1"/>
    <w:rsid w:val="00AA63AC"/>
    <w:rsid w:val="00AA63E5"/>
    <w:rsid w:val="00AA6554"/>
    <w:rsid w:val="00AA6629"/>
    <w:rsid w:val="00AA6656"/>
    <w:rsid w:val="00AA69CB"/>
    <w:rsid w:val="00AA6C64"/>
    <w:rsid w:val="00AA6FA0"/>
    <w:rsid w:val="00AA706A"/>
    <w:rsid w:val="00AA7779"/>
    <w:rsid w:val="00AA7A34"/>
    <w:rsid w:val="00AA7A7E"/>
    <w:rsid w:val="00AA7C6F"/>
    <w:rsid w:val="00AA7CB1"/>
    <w:rsid w:val="00AA7FA3"/>
    <w:rsid w:val="00AB0015"/>
    <w:rsid w:val="00AB035F"/>
    <w:rsid w:val="00AB0A82"/>
    <w:rsid w:val="00AB1166"/>
    <w:rsid w:val="00AB1430"/>
    <w:rsid w:val="00AB18E3"/>
    <w:rsid w:val="00AB1BF4"/>
    <w:rsid w:val="00AB1ECB"/>
    <w:rsid w:val="00AB1F33"/>
    <w:rsid w:val="00AB211A"/>
    <w:rsid w:val="00AB2445"/>
    <w:rsid w:val="00AB2653"/>
    <w:rsid w:val="00AB31BD"/>
    <w:rsid w:val="00AB3CB5"/>
    <w:rsid w:val="00AB3DFF"/>
    <w:rsid w:val="00AB3EDE"/>
    <w:rsid w:val="00AB3EEF"/>
    <w:rsid w:val="00AB4517"/>
    <w:rsid w:val="00AB46AB"/>
    <w:rsid w:val="00AB4782"/>
    <w:rsid w:val="00AB4885"/>
    <w:rsid w:val="00AB4A65"/>
    <w:rsid w:val="00AB4E47"/>
    <w:rsid w:val="00AB4F75"/>
    <w:rsid w:val="00AB5429"/>
    <w:rsid w:val="00AB576A"/>
    <w:rsid w:val="00AB5CB3"/>
    <w:rsid w:val="00AB604E"/>
    <w:rsid w:val="00AB60C5"/>
    <w:rsid w:val="00AB651A"/>
    <w:rsid w:val="00AB68BF"/>
    <w:rsid w:val="00AB6A27"/>
    <w:rsid w:val="00AB6CEA"/>
    <w:rsid w:val="00AB6EE0"/>
    <w:rsid w:val="00AB6FD9"/>
    <w:rsid w:val="00AB7281"/>
    <w:rsid w:val="00AB73B5"/>
    <w:rsid w:val="00AB73D5"/>
    <w:rsid w:val="00AB74CB"/>
    <w:rsid w:val="00AB759D"/>
    <w:rsid w:val="00AB7850"/>
    <w:rsid w:val="00AB78C9"/>
    <w:rsid w:val="00AB795D"/>
    <w:rsid w:val="00AB798B"/>
    <w:rsid w:val="00AB79D1"/>
    <w:rsid w:val="00AB7A00"/>
    <w:rsid w:val="00AB7ACD"/>
    <w:rsid w:val="00AB7DC7"/>
    <w:rsid w:val="00AB7E01"/>
    <w:rsid w:val="00AB7FC0"/>
    <w:rsid w:val="00AC00A5"/>
    <w:rsid w:val="00AC0BF1"/>
    <w:rsid w:val="00AC0E84"/>
    <w:rsid w:val="00AC12C4"/>
    <w:rsid w:val="00AC1505"/>
    <w:rsid w:val="00AC155F"/>
    <w:rsid w:val="00AC15D6"/>
    <w:rsid w:val="00AC1C5D"/>
    <w:rsid w:val="00AC226F"/>
    <w:rsid w:val="00AC28C2"/>
    <w:rsid w:val="00AC2DF8"/>
    <w:rsid w:val="00AC33FB"/>
    <w:rsid w:val="00AC3524"/>
    <w:rsid w:val="00AC37AB"/>
    <w:rsid w:val="00AC37AF"/>
    <w:rsid w:val="00AC3965"/>
    <w:rsid w:val="00AC3A23"/>
    <w:rsid w:val="00AC3A4A"/>
    <w:rsid w:val="00AC3CF2"/>
    <w:rsid w:val="00AC3EB7"/>
    <w:rsid w:val="00AC42D3"/>
    <w:rsid w:val="00AC4305"/>
    <w:rsid w:val="00AC4342"/>
    <w:rsid w:val="00AC4471"/>
    <w:rsid w:val="00AC49B7"/>
    <w:rsid w:val="00AC49EF"/>
    <w:rsid w:val="00AC4E0D"/>
    <w:rsid w:val="00AC53D8"/>
    <w:rsid w:val="00AC5B33"/>
    <w:rsid w:val="00AC63BD"/>
    <w:rsid w:val="00AC646D"/>
    <w:rsid w:val="00AC6503"/>
    <w:rsid w:val="00AC66E6"/>
    <w:rsid w:val="00AC689B"/>
    <w:rsid w:val="00AC6AA1"/>
    <w:rsid w:val="00AC6C71"/>
    <w:rsid w:val="00AC7191"/>
    <w:rsid w:val="00AC72C4"/>
    <w:rsid w:val="00AC76F0"/>
    <w:rsid w:val="00AC7A5F"/>
    <w:rsid w:val="00AC7D98"/>
    <w:rsid w:val="00AD0165"/>
    <w:rsid w:val="00AD04AD"/>
    <w:rsid w:val="00AD05FC"/>
    <w:rsid w:val="00AD07B8"/>
    <w:rsid w:val="00AD093E"/>
    <w:rsid w:val="00AD09EB"/>
    <w:rsid w:val="00AD0B1A"/>
    <w:rsid w:val="00AD0B92"/>
    <w:rsid w:val="00AD0BA3"/>
    <w:rsid w:val="00AD0C93"/>
    <w:rsid w:val="00AD1237"/>
    <w:rsid w:val="00AD1964"/>
    <w:rsid w:val="00AD2169"/>
    <w:rsid w:val="00AD2390"/>
    <w:rsid w:val="00AD29A8"/>
    <w:rsid w:val="00AD2A30"/>
    <w:rsid w:val="00AD2AB1"/>
    <w:rsid w:val="00AD2CB4"/>
    <w:rsid w:val="00AD2CD1"/>
    <w:rsid w:val="00AD2CEB"/>
    <w:rsid w:val="00AD2E6F"/>
    <w:rsid w:val="00AD2EE4"/>
    <w:rsid w:val="00AD2F3E"/>
    <w:rsid w:val="00AD3050"/>
    <w:rsid w:val="00AD3051"/>
    <w:rsid w:val="00AD3090"/>
    <w:rsid w:val="00AD3110"/>
    <w:rsid w:val="00AD3513"/>
    <w:rsid w:val="00AD3542"/>
    <w:rsid w:val="00AD373C"/>
    <w:rsid w:val="00AD37F3"/>
    <w:rsid w:val="00AD3CF7"/>
    <w:rsid w:val="00AD3EED"/>
    <w:rsid w:val="00AD42F1"/>
    <w:rsid w:val="00AD435E"/>
    <w:rsid w:val="00AD442E"/>
    <w:rsid w:val="00AD456F"/>
    <w:rsid w:val="00AD46F0"/>
    <w:rsid w:val="00AD4B97"/>
    <w:rsid w:val="00AD4DB5"/>
    <w:rsid w:val="00AD4EBB"/>
    <w:rsid w:val="00AD53A1"/>
    <w:rsid w:val="00AD56F6"/>
    <w:rsid w:val="00AD5A94"/>
    <w:rsid w:val="00AD5DD5"/>
    <w:rsid w:val="00AD632B"/>
    <w:rsid w:val="00AD6548"/>
    <w:rsid w:val="00AD68F7"/>
    <w:rsid w:val="00AD6CB8"/>
    <w:rsid w:val="00AD6E43"/>
    <w:rsid w:val="00AD715D"/>
    <w:rsid w:val="00AD71B9"/>
    <w:rsid w:val="00AD750D"/>
    <w:rsid w:val="00AD7B5A"/>
    <w:rsid w:val="00AD7BEC"/>
    <w:rsid w:val="00AD7D03"/>
    <w:rsid w:val="00AD7F86"/>
    <w:rsid w:val="00AE00D3"/>
    <w:rsid w:val="00AE02E3"/>
    <w:rsid w:val="00AE0B62"/>
    <w:rsid w:val="00AE0BAC"/>
    <w:rsid w:val="00AE0BB2"/>
    <w:rsid w:val="00AE0BE3"/>
    <w:rsid w:val="00AE0D5E"/>
    <w:rsid w:val="00AE0F5F"/>
    <w:rsid w:val="00AE1547"/>
    <w:rsid w:val="00AE176F"/>
    <w:rsid w:val="00AE1858"/>
    <w:rsid w:val="00AE1900"/>
    <w:rsid w:val="00AE197E"/>
    <w:rsid w:val="00AE1A85"/>
    <w:rsid w:val="00AE1AAB"/>
    <w:rsid w:val="00AE2305"/>
    <w:rsid w:val="00AE2A12"/>
    <w:rsid w:val="00AE2CA2"/>
    <w:rsid w:val="00AE30A4"/>
    <w:rsid w:val="00AE322A"/>
    <w:rsid w:val="00AE3557"/>
    <w:rsid w:val="00AE3692"/>
    <w:rsid w:val="00AE36E0"/>
    <w:rsid w:val="00AE4067"/>
    <w:rsid w:val="00AE416A"/>
    <w:rsid w:val="00AE426E"/>
    <w:rsid w:val="00AE4CD3"/>
    <w:rsid w:val="00AE50B7"/>
    <w:rsid w:val="00AE5364"/>
    <w:rsid w:val="00AE5605"/>
    <w:rsid w:val="00AE56F7"/>
    <w:rsid w:val="00AE5BEE"/>
    <w:rsid w:val="00AE5C4D"/>
    <w:rsid w:val="00AE61EA"/>
    <w:rsid w:val="00AE6237"/>
    <w:rsid w:val="00AE63C7"/>
    <w:rsid w:val="00AE6524"/>
    <w:rsid w:val="00AE65DA"/>
    <w:rsid w:val="00AE6A41"/>
    <w:rsid w:val="00AE6D87"/>
    <w:rsid w:val="00AE715E"/>
    <w:rsid w:val="00AE7398"/>
    <w:rsid w:val="00AE77DB"/>
    <w:rsid w:val="00AE7F8E"/>
    <w:rsid w:val="00AE7FB5"/>
    <w:rsid w:val="00AF01CC"/>
    <w:rsid w:val="00AF0317"/>
    <w:rsid w:val="00AF041D"/>
    <w:rsid w:val="00AF042D"/>
    <w:rsid w:val="00AF05F9"/>
    <w:rsid w:val="00AF0619"/>
    <w:rsid w:val="00AF0E12"/>
    <w:rsid w:val="00AF0FB0"/>
    <w:rsid w:val="00AF109D"/>
    <w:rsid w:val="00AF11C9"/>
    <w:rsid w:val="00AF12D5"/>
    <w:rsid w:val="00AF13CE"/>
    <w:rsid w:val="00AF1627"/>
    <w:rsid w:val="00AF1741"/>
    <w:rsid w:val="00AF17BB"/>
    <w:rsid w:val="00AF1BD8"/>
    <w:rsid w:val="00AF1DC1"/>
    <w:rsid w:val="00AF1EBB"/>
    <w:rsid w:val="00AF1EF2"/>
    <w:rsid w:val="00AF2188"/>
    <w:rsid w:val="00AF21ED"/>
    <w:rsid w:val="00AF2484"/>
    <w:rsid w:val="00AF248B"/>
    <w:rsid w:val="00AF2981"/>
    <w:rsid w:val="00AF2AE5"/>
    <w:rsid w:val="00AF2C2D"/>
    <w:rsid w:val="00AF2FED"/>
    <w:rsid w:val="00AF3632"/>
    <w:rsid w:val="00AF3FFB"/>
    <w:rsid w:val="00AF40F4"/>
    <w:rsid w:val="00AF4257"/>
    <w:rsid w:val="00AF430F"/>
    <w:rsid w:val="00AF4355"/>
    <w:rsid w:val="00AF46AC"/>
    <w:rsid w:val="00AF47FE"/>
    <w:rsid w:val="00AF492F"/>
    <w:rsid w:val="00AF4BF4"/>
    <w:rsid w:val="00AF4CC1"/>
    <w:rsid w:val="00AF4D9D"/>
    <w:rsid w:val="00AF51AB"/>
    <w:rsid w:val="00AF54DC"/>
    <w:rsid w:val="00AF584B"/>
    <w:rsid w:val="00AF5B45"/>
    <w:rsid w:val="00AF609C"/>
    <w:rsid w:val="00AF612D"/>
    <w:rsid w:val="00AF614D"/>
    <w:rsid w:val="00AF649D"/>
    <w:rsid w:val="00AF664B"/>
    <w:rsid w:val="00AF67F3"/>
    <w:rsid w:val="00AF68D6"/>
    <w:rsid w:val="00AF6B72"/>
    <w:rsid w:val="00AF6C90"/>
    <w:rsid w:val="00AF6D4A"/>
    <w:rsid w:val="00AF72F9"/>
    <w:rsid w:val="00AF7917"/>
    <w:rsid w:val="00AF7A27"/>
    <w:rsid w:val="00AF7CB6"/>
    <w:rsid w:val="00B0010C"/>
    <w:rsid w:val="00B00374"/>
    <w:rsid w:val="00B005B6"/>
    <w:rsid w:val="00B00730"/>
    <w:rsid w:val="00B00881"/>
    <w:rsid w:val="00B00A6A"/>
    <w:rsid w:val="00B00ACA"/>
    <w:rsid w:val="00B00AD5"/>
    <w:rsid w:val="00B01015"/>
    <w:rsid w:val="00B012A7"/>
    <w:rsid w:val="00B0158C"/>
    <w:rsid w:val="00B016B7"/>
    <w:rsid w:val="00B018A1"/>
    <w:rsid w:val="00B01927"/>
    <w:rsid w:val="00B01B9C"/>
    <w:rsid w:val="00B01BEA"/>
    <w:rsid w:val="00B01BFE"/>
    <w:rsid w:val="00B01CB5"/>
    <w:rsid w:val="00B01D6A"/>
    <w:rsid w:val="00B01DA7"/>
    <w:rsid w:val="00B01F1F"/>
    <w:rsid w:val="00B01FDA"/>
    <w:rsid w:val="00B020BA"/>
    <w:rsid w:val="00B021FC"/>
    <w:rsid w:val="00B02260"/>
    <w:rsid w:val="00B022FF"/>
    <w:rsid w:val="00B0264F"/>
    <w:rsid w:val="00B02784"/>
    <w:rsid w:val="00B02B81"/>
    <w:rsid w:val="00B02F95"/>
    <w:rsid w:val="00B031B0"/>
    <w:rsid w:val="00B0333D"/>
    <w:rsid w:val="00B034F5"/>
    <w:rsid w:val="00B03E0F"/>
    <w:rsid w:val="00B03EF9"/>
    <w:rsid w:val="00B04BD3"/>
    <w:rsid w:val="00B04E0D"/>
    <w:rsid w:val="00B0510D"/>
    <w:rsid w:val="00B0529A"/>
    <w:rsid w:val="00B053F1"/>
    <w:rsid w:val="00B054DF"/>
    <w:rsid w:val="00B05751"/>
    <w:rsid w:val="00B059A1"/>
    <w:rsid w:val="00B059DB"/>
    <w:rsid w:val="00B05AA6"/>
    <w:rsid w:val="00B05F0B"/>
    <w:rsid w:val="00B060F6"/>
    <w:rsid w:val="00B06578"/>
    <w:rsid w:val="00B067E6"/>
    <w:rsid w:val="00B0680E"/>
    <w:rsid w:val="00B06AB6"/>
    <w:rsid w:val="00B071D2"/>
    <w:rsid w:val="00B072CC"/>
    <w:rsid w:val="00B07383"/>
    <w:rsid w:val="00B0741B"/>
    <w:rsid w:val="00B0771A"/>
    <w:rsid w:val="00B07726"/>
    <w:rsid w:val="00B07B5C"/>
    <w:rsid w:val="00B07D13"/>
    <w:rsid w:val="00B07DBB"/>
    <w:rsid w:val="00B07DFA"/>
    <w:rsid w:val="00B108CD"/>
    <w:rsid w:val="00B10929"/>
    <w:rsid w:val="00B10E11"/>
    <w:rsid w:val="00B1133D"/>
    <w:rsid w:val="00B113D6"/>
    <w:rsid w:val="00B11446"/>
    <w:rsid w:val="00B11598"/>
    <w:rsid w:val="00B11E6E"/>
    <w:rsid w:val="00B1223A"/>
    <w:rsid w:val="00B122E6"/>
    <w:rsid w:val="00B12547"/>
    <w:rsid w:val="00B1255B"/>
    <w:rsid w:val="00B12818"/>
    <w:rsid w:val="00B13258"/>
    <w:rsid w:val="00B133A8"/>
    <w:rsid w:val="00B1343D"/>
    <w:rsid w:val="00B135F8"/>
    <w:rsid w:val="00B13761"/>
    <w:rsid w:val="00B13B0D"/>
    <w:rsid w:val="00B13D40"/>
    <w:rsid w:val="00B14070"/>
    <w:rsid w:val="00B1409E"/>
    <w:rsid w:val="00B14105"/>
    <w:rsid w:val="00B145BA"/>
    <w:rsid w:val="00B145E7"/>
    <w:rsid w:val="00B14736"/>
    <w:rsid w:val="00B147CE"/>
    <w:rsid w:val="00B14D7F"/>
    <w:rsid w:val="00B14FD9"/>
    <w:rsid w:val="00B14FF9"/>
    <w:rsid w:val="00B155F1"/>
    <w:rsid w:val="00B158ED"/>
    <w:rsid w:val="00B15F26"/>
    <w:rsid w:val="00B15FF5"/>
    <w:rsid w:val="00B16205"/>
    <w:rsid w:val="00B16229"/>
    <w:rsid w:val="00B1641F"/>
    <w:rsid w:val="00B165B3"/>
    <w:rsid w:val="00B1686B"/>
    <w:rsid w:val="00B16888"/>
    <w:rsid w:val="00B1695B"/>
    <w:rsid w:val="00B16C95"/>
    <w:rsid w:val="00B16DAC"/>
    <w:rsid w:val="00B17A72"/>
    <w:rsid w:val="00B17C32"/>
    <w:rsid w:val="00B17D15"/>
    <w:rsid w:val="00B17EEF"/>
    <w:rsid w:val="00B17F86"/>
    <w:rsid w:val="00B17FAE"/>
    <w:rsid w:val="00B200AF"/>
    <w:rsid w:val="00B20241"/>
    <w:rsid w:val="00B20648"/>
    <w:rsid w:val="00B20C7D"/>
    <w:rsid w:val="00B21025"/>
    <w:rsid w:val="00B21076"/>
    <w:rsid w:val="00B212C8"/>
    <w:rsid w:val="00B214D0"/>
    <w:rsid w:val="00B21968"/>
    <w:rsid w:val="00B21A2B"/>
    <w:rsid w:val="00B2211A"/>
    <w:rsid w:val="00B2213E"/>
    <w:rsid w:val="00B22940"/>
    <w:rsid w:val="00B229ED"/>
    <w:rsid w:val="00B229F2"/>
    <w:rsid w:val="00B22C3A"/>
    <w:rsid w:val="00B22CC6"/>
    <w:rsid w:val="00B22DFF"/>
    <w:rsid w:val="00B22E59"/>
    <w:rsid w:val="00B22F75"/>
    <w:rsid w:val="00B230DA"/>
    <w:rsid w:val="00B2339D"/>
    <w:rsid w:val="00B233FF"/>
    <w:rsid w:val="00B237E2"/>
    <w:rsid w:val="00B2383B"/>
    <w:rsid w:val="00B239FE"/>
    <w:rsid w:val="00B23DEB"/>
    <w:rsid w:val="00B23F56"/>
    <w:rsid w:val="00B24230"/>
    <w:rsid w:val="00B24555"/>
    <w:rsid w:val="00B24578"/>
    <w:rsid w:val="00B2466C"/>
    <w:rsid w:val="00B24679"/>
    <w:rsid w:val="00B248B2"/>
    <w:rsid w:val="00B24EE8"/>
    <w:rsid w:val="00B25035"/>
    <w:rsid w:val="00B251E8"/>
    <w:rsid w:val="00B2521B"/>
    <w:rsid w:val="00B25336"/>
    <w:rsid w:val="00B254BE"/>
    <w:rsid w:val="00B25526"/>
    <w:rsid w:val="00B25A41"/>
    <w:rsid w:val="00B25D1E"/>
    <w:rsid w:val="00B262AD"/>
    <w:rsid w:val="00B2632D"/>
    <w:rsid w:val="00B264A3"/>
    <w:rsid w:val="00B26613"/>
    <w:rsid w:val="00B26B65"/>
    <w:rsid w:val="00B26BC0"/>
    <w:rsid w:val="00B26C45"/>
    <w:rsid w:val="00B26CA2"/>
    <w:rsid w:val="00B26EAE"/>
    <w:rsid w:val="00B26EFC"/>
    <w:rsid w:val="00B271EE"/>
    <w:rsid w:val="00B27386"/>
    <w:rsid w:val="00B2766D"/>
    <w:rsid w:val="00B278B4"/>
    <w:rsid w:val="00B279C6"/>
    <w:rsid w:val="00B27A30"/>
    <w:rsid w:val="00B27AF1"/>
    <w:rsid w:val="00B27B7B"/>
    <w:rsid w:val="00B27BBD"/>
    <w:rsid w:val="00B27F0C"/>
    <w:rsid w:val="00B27F71"/>
    <w:rsid w:val="00B301A0"/>
    <w:rsid w:val="00B30209"/>
    <w:rsid w:val="00B30273"/>
    <w:rsid w:val="00B30329"/>
    <w:rsid w:val="00B30380"/>
    <w:rsid w:val="00B303C6"/>
    <w:rsid w:val="00B303D0"/>
    <w:rsid w:val="00B3040B"/>
    <w:rsid w:val="00B30761"/>
    <w:rsid w:val="00B308B4"/>
    <w:rsid w:val="00B30EEC"/>
    <w:rsid w:val="00B310D6"/>
    <w:rsid w:val="00B3154A"/>
    <w:rsid w:val="00B317FE"/>
    <w:rsid w:val="00B31B17"/>
    <w:rsid w:val="00B31C3A"/>
    <w:rsid w:val="00B31CDC"/>
    <w:rsid w:val="00B31D83"/>
    <w:rsid w:val="00B32382"/>
    <w:rsid w:val="00B326B7"/>
    <w:rsid w:val="00B32701"/>
    <w:rsid w:val="00B32CEF"/>
    <w:rsid w:val="00B32D06"/>
    <w:rsid w:val="00B32E89"/>
    <w:rsid w:val="00B3361B"/>
    <w:rsid w:val="00B33744"/>
    <w:rsid w:val="00B33D6A"/>
    <w:rsid w:val="00B33F66"/>
    <w:rsid w:val="00B34360"/>
    <w:rsid w:val="00B34863"/>
    <w:rsid w:val="00B3488C"/>
    <w:rsid w:val="00B348E3"/>
    <w:rsid w:val="00B34A87"/>
    <w:rsid w:val="00B34AA8"/>
    <w:rsid w:val="00B34B00"/>
    <w:rsid w:val="00B34C86"/>
    <w:rsid w:val="00B34DA1"/>
    <w:rsid w:val="00B35606"/>
    <w:rsid w:val="00B35A7F"/>
    <w:rsid w:val="00B35C32"/>
    <w:rsid w:val="00B35E0E"/>
    <w:rsid w:val="00B35EFA"/>
    <w:rsid w:val="00B35F0C"/>
    <w:rsid w:val="00B35FBF"/>
    <w:rsid w:val="00B35FE6"/>
    <w:rsid w:val="00B3608A"/>
    <w:rsid w:val="00B36255"/>
    <w:rsid w:val="00B368C5"/>
    <w:rsid w:val="00B36CA9"/>
    <w:rsid w:val="00B36F45"/>
    <w:rsid w:val="00B37381"/>
    <w:rsid w:val="00B373AA"/>
    <w:rsid w:val="00B375E6"/>
    <w:rsid w:val="00B3764E"/>
    <w:rsid w:val="00B37859"/>
    <w:rsid w:val="00B37BE8"/>
    <w:rsid w:val="00B37DE8"/>
    <w:rsid w:val="00B37EB9"/>
    <w:rsid w:val="00B37F11"/>
    <w:rsid w:val="00B404B9"/>
    <w:rsid w:val="00B40545"/>
    <w:rsid w:val="00B40598"/>
    <w:rsid w:val="00B405DF"/>
    <w:rsid w:val="00B409E8"/>
    <w:rsid w:val="00B40B94"/>
    <w:rsid w:val="00B40CC3"/>
    <w:rsid w:val="00B40E51"/>
    <w:rsid w:val="00B40F67"/>
    <w:rsid w:val="00B411D5"/>
    <w:rsid w:val="00B41309"/>
    <w:rsid w:val="00B4163E"/>
    <w:rsid w:val="00B41785"/>
    <w:rsid w:val="00B4186F"/>
    <w:rsid w:val="00B41985"/>
    <w:rsid w:val="00B41CAB"/>
    <w:rsid w:val="00B41E19"/>
    <w:rsid w:val="00B42564"/>
    <w:rsid w:val="00B425EA"/>
    <w:rsid w:val="00B43113"/>
    <w:rsid w:val="00B4324F"/>
    <w:rsid w:val="00B434B7"/>
    <w:rsid w:val="00B438F0"/>
    <w:rsid w:val="00B43A0E"/>
    <w:rsid w:val="00B43AAB"/>
    <w:rsid w:val="00B43E83"/>
    <w:rsid w:val="00B43FC4"/>
    <w:rsid w:val="00B4412D"/>
    <w:rsid w:val="00B4466A"/>
    <w:rsid w:val="00B44670"/>
    <w:rsid w:val="00B447FD"/>
    <w:rsid w:val="00B44C03"/>
    <w:rsid w:val="00B44C80"/>
    <w:rsid w:val="00B44F20"/>
    <w:rsid w:val="00B45193"/>
    <w:rsid w:val="00B45303"/>
    <w:rsid w:val="00B453DC"/>
    <w:rsid w:val="00B453E3"/>
    <w:rsid w:val="00B45849"/>
    <w:rsid w:val="00B45880"/>
    <w:rsid w:val="00B4593F"/>
    <w:rsid w:val="00B45A94"/>
    <w:rsid w:val="00B45BC5"/>
    <w:rsid w:val="00B4620C"/>
    <w:rsid w:val="00B462B3"/>
    <w:rsid w:val="00B4639B"/>
    <w:rsid w:val="00B463E5"/>
    <w:rsid w:val="00B4684A"/>
    <w:rsid w:val="00B46DFF"/>
    <w:rsid w:val="00B46F97"/>
    <w:rsid w:val="00B475E0"/>
    <w:rsid w:val="00B4775D"/>
    <w:rsid w:val="00B4796A"/>
    <w:rsid w:val="00B47ABF"/>
    <w:rsid w:val="00B47C08"/>
    <w:rsid w:val="00B47C0D"/>
    <w:rsid w:val="00B5001B"/>
    <w:rsid w:val="00B50879"/>
    <w:rsid w:val="00B50912"/>
    <w:rsid w:val="00B50C37"/>
    <w:rsid w:val="00B50F0E"/>
    <w:rsid w:val="00B50FA9"/>
    <w:rsid w:val="00B51148"/>
    <w:rsid w:val="00B51301"/>
    <w:rsid w:val="00B51384"/>
    <w:rsid w:val="00B514D0"/>
    <w:rsid w:val="00B51CBD"/>
    <w:rsid w:val="00B52131"/>
    <w:rsid w:val="00B5221E"/>
    <w:rsid w:val="00B52222"/>
    <w:rsid w:val="00B523A2"/>
    <w:rsid w:val="00B52A52"/>
    <w:rsid w:val="00B52DB3"/>
    <w:rsid w:val="00B52E0A"/>
    <w:rsid w:val="00B53028"/>
    <w:rsid w:val="00B53575"/>
    <w:rsid w:val="00B5358B"/>
    <w:rsid w:val="00B538B3"/>
    <w:rsid w:val="00B540B6"/>
    <w:rsid w:val="00B54106"/>
    <w:rsid w:val="00B542A0"/>
    <w:rsid w:val="00B54787"/>
    <w:rsid w:val="00B54CD6"/>
    <w:rsid w:val="00B550DC"/>
    <w:rsid w:val="00B551A8"/>
    <w:rsid w:val="00B55309"/>
    <w:rsid w:val="00B5567B"/>
    <w:rsid w:val="00B557A4"/>
    <w:rsid w:val="00B55B4D"/>
    <w:rsid w:val="00B55F24"/>
    <w:rsid w:val="00B55FDD"/>
    <w:rsid w:val="00B56053"/>
    <w:rsid w:val="00B560AF"/>
    <w:rsid w:val="00B5646E"/>
    <w:rsid w:val="00B5652E"/>
    <w:rsid w:val="00B569E6"/>
    <w:rsid w:val="00B56AE2"/>
    <w:rsid w:val="00B56FE3"/>
    <w:rsid w:val="00B57083"/>
    <w:rsid w:val="00B57163"/>
    <w:rsid w:val="00B573E3"/>
    <w:rsid w:val="00B5776B"/>
    <w:rsid w:val="00B57770"/>
    <w:rsid w:val="00B57C58"/>
    <w:rsid w:val="00B57D45"/>
    <w:rsid w:val="00B6008C"/>
    <w:rsid w:val="00B60249"/>
    <w:rsid w:val="00B60407"/>
    <w:rsid w:val="00B6054A"/>
    <w:rsid w:val="00B60902"/>
    <w:rsid w:val="00B609AD"/>
    <w:rsid w:val="00B61077"/>
    <w:rsid w:val="00B610C3"/>
    <w:rsid w:val="00B610E1"/>
    <w:rsid w:val="00B61241"/>
    <w:rsid w:val="00B613A9"/>
    <w:rsid w:val="00B615BF"/>
    <w:rsid w:val="00B61763"/>
    <w:rsid w:val="00B61836"/>
    <w:rsid w:val="00B61943"/>
    <w:rsid w:val="00B61B93"/>
    <w:rsid w:val="00B61BDA"/>
    <w:rsid w:val="00B61EAC"/>
    <w:rsid w:val="00B62016"/>
    <w:rsid w:val="00B6219A"/>
    <w:rsid w:val="00B622BF"/>
    <w:rsid w:val="00B625AE"/>
    <w:rsid w:val="00B62964"/>
    <w:rsid w:val="00B62AA5"/>
    <w:rsid w:val="00B6351D"/>
    <w:rsid w:val="00B6362F"/>
    <w:rsid w:val="00B63A3C"/>
    <w:rsid w:val="00B63EBC"/>
    <w:rsid w:val="00B64044"/>
    <w:rsid w:val="00B644AB"/>
    <w:rsid w:val="00B644F0"/>
    <w:rsid w:val="00B6452D"/>
    <w:rsid w:val="00B64D2D"/>
    <w:rsid w:val="00B64E40"/>
    <w:rsid w:val="00B64E92"/>
    <w:rsid w:val="00B64EA3"/>
    <w:rsid w:val="00B64EEB"/>
    <w:rsid w:val="00B65226"/>
    <w:rsid w:val="00B653F9"/>
    <w:rsid w:val="00B655BB"/>
    <w:rsid w:val="00B65644"/>
    <w:rsid w:val="00B65BC6"/>
    <w:rsid w:val="00B65CC4"/>
    <w:rsid w:val="00B66005"/>
    <w:rsid w:val="00B661FE"/>
    <w:rsid w:val="00B66CAD"/>
    <w:rsid w:val="00B66FCF"/>
    <w:rsid w:val="00B670A2"/>
    <w:rsid w:val="00B6762E"/>
    <w:rsid w:val="00B67640"/>
    <w:rsid w:val="00B678A0"/>
    <w:rsid w:val="00B67D29"/>
    <w:rsid w:val="00B67E18"/>
    <w:rsid w:val="00B7016D"/>
    <w:rsid w:val="00B7084A"/>
    <w:rsid w:val="00B709F0"/>
    <w:rsid w:val="00B70A4A"/>
    <w:rsid w:val="00B70ABD"/>
    <w:rsid w:val="00B71020"/>
    <w:rsid w:val="00B714AF"/>
    <w:rsid w:val="00B718AB"/>
    <w:rsid w:val="00B71B58"/>
    <w:rsid w:val="00B71BDE"/>
    <w:rsid w:val="00B72331"/>
    <w:rsid w:val="00B723FD"/>
    <w:rsid w:val="00B72760"/>
    <w:rsid w:val="00B727E3"/>
    <w:rsid w:val="00B727FF"/>
    <w:rsid w:val="00B72A88"/>
    <w:rsid w:val="00B72B4B"/>
    <w:rsid w:val="00B72CD8"/>
    <w:rsid w:val="00B73A09"/>
    <w:rsid w:val="00B74036"/>
    <w:rsid w:val="00B741D9"/>
    <w:rsid w:val="00B743E7"/>
    <w:rsid w:val="00B7472D"/>
    <w:rsid w:val="00B74830"/>
    <w:rsid w:val="00B748A7"/>
    <w:rsid w:val="00B74E8D"/>
    <w:rsid w:val="00B751E1"/>
    <w:rsid w:val="00B7597E"/>
    <w:rsid w:val="00B75B55"/>
    <w:rsid w:val="00B76043"/>
    <w:rsid w:val="00B76365"/>
    <w:rsid w:val="00B764C1"/>
    <w:rsid w:val="00B7665A"/>
    <w:rsid w:val="00B767C0"/>
    <w:rsid w:val="00B76DB0"/>
    <w:rsid w:val="00B77149"/>
    <w:rsid w:val="00B77176"/>
    <w:rsid w:val="00B771D1"/>
    <w:rsid w:val="00B7723D"/>
    <w:rsid w:val="00B77395"/>
    <w:rsid w:val="00B77519"/>
    <w:rsid w:val="00B77A3E"/>
    <w:rsid w:val="00B77E1B"/>
    <w:rsid w:val="00B77FE2"/>
    <w:rsid w:val="00B8005D"/>
    <w:rsid w:val="00B8028B"/>
    <w:rsid w:val="00B8089C"/>
    <w:rsid w:val="00B8098F"/>
    <w:rsid w:val="00B809DE"/>
    <w:rsid w:val="00B80AFD"/>
    <w:rsid w:val="00B80EB5"/>
    <w:rsid w:val="00B80F36"/>
    <w:rsid w:val="00B813CA"/>
    <w:rsid w:val="00B81551"/>
    <w:rsid w:val="00B815BC"/>
    <w:rsid w:val="00B81960"/>
    <w:rsid w:val="00B81C95"/>
    <w:rsid w:val="00B81F46"/>
    <w:rsid w:val="00B82142"/>
    <w:rsid w:val="00B82708"/>
    <w:rsid w:val="00B8279B"/>
    <w:rsid w:val="00B829DF"/>
    <w:rsid w:val="00B830B9"/>
    <w:rsid w:val="00B8321D"/>
    <w:rsid w:val="00B836D4"/>
    <w:rsid w:val="00B8385A"/>
    <w:rsid w:val="00B838C2"/>
    <w:rsid w:val="00B83AA4"/>
    <w:rsid w:val="00B83D96"/>
    <w:rsid w:val="00B83DA9"/>
    <w:rsid w:val="00B83EB7"/>
    <w:rsid w:val="00B8410E"/>
    <w:rsid w:val="00B8416D"/>
    <w:rsid w:val="00B84275"/>
    <w:rsid w:val="00B8448B"/>
    <w:rsid w:val="00B846F3"/>
    <w:rsid w:val="00B8475F"/>
    <w:rsid w:val="00B8493C"/>
    <w:rsid w:val="00B84965"/>
    <w:rsid w:val="00B84BF5"/>
    <w:rsid w:val="00B84C80"/>
    <w:rsid w:val="00B84CE8"/>
    <w:rsid w:val="00B84DE9"/>
    <w:rsid w:val="00B84E9B"/>
    <w:rsid w:val="00B85118"/>
    <w:rsid w:val="00B853F9"/>
    <w:rsid w:val="00B85801"/>
    <w:rsid w:val="00B85990"/>
    <w:rsid w:val="00B85C91"/>
    <w:rsid w:val="00B85F5E"/>
    <w:rsid w:val="00B86035"/>
    <w:rsid w:val="00B861C8"/>
    <w:rsid w:val="00B862C3"/>
    <w:rsid w:val="00B86354"/>
    <w:rsid w:val="00B86365"/>
    <w:rsid w:val="00B868B2"/>
    <w:rsid w:val="00B86C14"/>
    <w:rsid w:val="00B86D8E"/>
    <w:rsid w:val="00B86E97"/>
    <w:rsid w:val="00B877F0"/>
    <w:rsid w:val="00B87986"/>
    <w:rsid w:val="00B87AB8"/>
    <w:rsid w:val="00B87B1C"/>
    <w:rsid w:val="00B87CBE"/>
    <w:rsid w:val="00B87EA8"/>
    <w:rsid w:val="00B87F86"/>
    <w:rsid w:val="00B87F9E"/>
    <w:rsid w:val="00B9007C"/>
    <w:rsid w:val="00B903E2"/>
    <w:rsid w:val="00B90871"/>
    <w:rsid w:val="00B908BD"/>
    <w:rsid w:val="00B909B6"/>
    <w:rsid w:val="00B90B8F"/>
    <w:rsid w:val="00B90D39"/>
    <w:rsid w:val="00B90E21"/>
    <w:rsid w:val="00B90F81"/>
    <w:rsid w:val="00B9170B"/>
    <w:rsid w:val="00B91874"/>
    <w:rsid w:val="00B91A8A"/>
    <w:rsid w:val="00B91C18"/>
    <w:rsid w:val="00B91C43"/>
    <w:rsid w:val="00B91EC3"/>
    <w:rsid w:val="00B92123"/>
    <w:rsid w:val="00B92160"/>
    <w:rsid w:val="00B92348"/>
    <w:rsid w:val="00B92617"/>
    <w:rsid w:val="00B927E6"/>
    <w:rsid w:val="00B92E66"/>
    <w:rsid w:val="00B93061"/>
    <w:rsid w:val="00B932C3"/>
    <w:rsid w:val="00B936CE"/>
    <w:rsid w:val="00B93ADA"/>
    <w:rsid w:val="00B93E60"/>
    <w:rsid w:val="00B93E8F"/>
    <w:rsid w:val="00B94028"/>
    <w:rsid w:val="00B9405A"/>
    <w:rsid w:val="00B94093"/>
    <w:rsid w:val="00B94185"/>
    <w:rsid w:val="00B94264"/>
    <w:rsid w:val="00B942DF"/>
    <w:rsid w:val="00B94A88"/>
    <w:rsid w:val="00B94B30"/>
    <w:rsid w:val="00B94D99"/>
    <w:rsid w:val="00B94F1A"/>
    <w:rsid w:val="00B950F7"/>
    <w:rsid w:val="00B951F2"/>
    <w:rsid w:val="00B953A9"/>
    <w:rsid w:val="00B95558"/>
    <w:rsid w:val="00B9597C"/>
    <w:rsid w:val="00B95980"/>
    <w:rsid w:val="00B95C4F"/>
    <w:rsid w:val="00B9619F"/>
    <w:rsid w:val="00B964D2"/>
    <w:rsid w:val="00B96760"/>
    <w:rsid w:val="00B96AA1"/>
    <w:rsid w:val="00B970E1"/>
    <w:rsid w:val="00B9779B"/>
    <w:rsid w:val="00B97AF1"/>
    <w:rsid w:val="00B97D8A"/>
    <w:rsid w:val="00B97E26"/>
    <w:rsid w:val="00BA013B"/>
    <w:rsid w:val="00BA03E0"/>
    <w:rsid w:val="00BA0CD7"/>
    <w:rsid w:val="00BA0DB0"/>
    <w:rsid w:val="00BA0F28"/>
    <w:rsid w:val="00BA109B"/>
    <w:rsid w:val="00BA14D2"/>
    <w:rsid w:val="00BA19E5"/>
    <w:rsid w:val="00BA1F41"/>
    <w:rsid w:val="00BA1F55"/>
    <w:rsid w:val="00BA21C4"/>
    <w:rsid w:val="00BA22B6"/>
    <w:rsid w:val="00BA24B1"/>
    <w:rsid w:val="00BA25F3"/>
    <w:rsid w:val="00BA262C"/>
    <w:rsid w:val="00BA2A3F"/>
    <w:rsid w:val="00BA2C2E"/>
    <w:rsid w:val="00BA2CA9"/>
    <w:rsid w:val="00BA2DC7"/>
    <w:rsid w:val="00BA31A3"/>
    <w:rsid w:val="00BA36C3"/>
    <w:rsid w:val="00BA3730"/>
    <w:rsid w:val="00BA3898"/>
    <w:rsid w:val="00BA3A41"/>
    <w:rsid w:val="00BA3C84"/>
    <w:rsid w:val="00BA3F55"/>
    <w:rsid w:val="00BA4335"/>
    <w:rsid w:val="00BA45FA"/>
    <w:rsid w:val="00BA46E5"/>
    <w:rsid w:val="00BA4F9C"/>
    <w:rsid w:val="00BA516F"/>
    <w:rsid w:val="00BA5208"/>
    <w:rsid w:val="00BA57E5"/>
    <w:rsid w:val="00BA5909"/>
    <w:rsid w:val="00BA5A83"/>
    <w:rsid w:val="00BA5E6A"/>
    <w:rsid w:val="00BA5EBC"/>
    <w:rsid w:val="00BA65B9"/>
    <w:rsid w:val="00BA6ABD"/>
    <w:rsid w:val="00BA6D0F"/>
    <w:rsid w:val="00BA6D96"/>
    <w:rsid w:val="00BA749B"/>
    <w:rsid w:val="00BA77CD"/>
    <w:rsid w:val="00BA794A"/>
    <w:rsid w:val="00BA7AF1"/>
    <w:rsid w:val="00BA7D95"/>
    <w:rsid w:val="00BB01CD"/>
    <w:rsid w:val="00BB04B7"/>
    <w:rsid w:val="00BB04D3"/>
    <w:rsid w:val="00BB0648"/>
    <w:rsid w:val="00BB06BA"/>
    <w:rsid w:val="00BB081A"/>
    <w:rsid w:val="00BB08DC"/>
    <w:rsid w:val="00BB0C84"/>
    <w:rsid w:val="00BB1239"/>
    <w:rsid w:val="00BB1731"/>
    <w:rsid w:val="00BB1771"/>
    <w:rsid w:val="00BB17CA"/>
    <w:rsid w:val="00BB1857"/>
    <w:rsid w:val="00BB1A79"/>
    <w:rsid w:val="00BB1AEB"/>
    <w:rsid w:val="00BB1B1C"/>
    <w:rsid w:val="00BB1B4B"/>
    <w:rsid w:val="00BB261F"/>
    <w:rsid w:val="00BB2AA4"/>
    <w:rsid w:val="00BB2CFF"/>
    <w:rsid w:val="00BB2D03"/>
    <w:rsid w:val="00BB2F56"/>
    <w:rsid w:val="00BB32F9"/>
    <w:rsid w:val="00BB36A9"/>
    <w:rsid w:val="00BB3984"/>
    <w:rsid w:val="00BB4124"/>
    <w:rsid w:val="00BB454E"/>
    <w:rsid w:val="00BB4593"/>
    <w:rsid w:val="00BB4655"/>
    <w:rsid w:val="00BB4C9F"/>
    <w:rsid w:val="00BB4EDC"/>
    <w:rsid w:val="00BB4FE3"/>
    <w:rsid w:val="00BB5157"/>
    <w:rsid w:val="00BB5167"/>
    <w:rsid w:val="00BB5209"/>
    <w:rsid w:val="00BB52D8"/>
    <w:rsid w:val="00BB577C"/>
    <w:rsid w:val="00BB5796"/>
    <w:rsid w:val="00BB5ABD"/>
    <w:rsid w:val="00BB5AF7"/>
    <w:rsid w:val="00BB5D85"/>
    <w:rsid w:val="00BB6008"/>
    <w:rsid w:val="00BB61B8"/>
    <w:rsid w:val="00BB663B"/>
    <w:rsid w:val="00BB6C07"/>
    <w:rsid w:val="00BB6CD0"/>
    <w:rsid w:val="00BB716F"/>
    <w:rsid w:val="00BB78CC"/>
    <w:rsid w:val="00BB7AFB"/>
    <w:rsid w:val="00BB7BCB"/>
    <w:rsid w:val="00BB7E71"/>
    <w:rsid w:val="00BB7EBB"/>
    <w:rsid w:val="00BC00AE"/>
    <w:rsid w:val="00BC05B0"/>
    <w:rsid w:val="00BC07EC"/>
    <w:rsid w:val="00BC082E"/>
    <w:rsid w:val="00BC0AB7"/>
    <w:rsid w:val="00BC0ACE"/>
    <w:rsid w:val="00BC0B4C"/>
    <w:rsid w:val="00BC0C79"/>
    <w:rsid w:val="00BC0CB0"/>
    <w:rsid w:val="00BC0E8B"/>
    <w:rsid w:val="00BC0FFF"/>
    <w:rsid w:val="00BC10C3"/>
    <w:rsid w:val="00BC185D"/>
    <w:rsid w:val="00BC1E37"/>
    <w:rsid w:val="00BC24A8"/>
    <w:rsid w:val="00BC2628"/>
    <w:rsid w:val="00BC2638"/>
    <w:rsid w:val="00BC26F4"/>
    <w:rsid w:val="00BC2EE3"/>
    <w:rsid w:val="00BC3139"/>
    <w:rsid w:val="00BC324B"/>
    <w:rsid w:val="00BC343A"/>
    <w:rsid w:val="00BC344D"/>
    <w:rsid w:val="00BC3503"/>
    <w:rsid w:val="00BC3616"/>
    <w:rsid w:val="00BC36D7"/>
    <w:rsid w:val="00BC3AB8"/>
    <w:rsid w:val="00BC422B"/>
    <w:rsid w:val="00BC44AC"/>
    <w:rsid w:val="00BC46A5"/>
    <w:rsid w:val="00BC471B"/>
    <w:rsid w:val="00BC4969"/>
    <w:rsid w:val="00BC4C11"/>
    <w:rsid w:val="00BC4C12"/>
    <w:rsid w:val="00BC61E5"/>
    <w:rsid w:val="00BC6416"/>
    <w:rsid w:val="00BC6528"/>
    <w:rsid w:val="00BC65BF"/>
    <w:rsid w:val="00BC6D2B"/>
    <w:rsid w:val="00BC7378"/>
    <w:rsid w:val="00BC73E8"/>
    <w:rsid w:val="00BC7659"/>
    <w:rsid w:val="00BC7982"/>
    <w:rsid w:val="00BC7C6F"/>
    <w:rsid w:val="00BD00D0"/>
    <w:rsid w:val="00BD0193"/>
    <w:rsid w:val="00BD02AA"/>
    <w:rsid w:val="00BD0529"/>
    <w:rsid w:val="00BD16E4"/>
    <w:rsid w:val="00BD18A9"/>
    <w:rsid w:val="00BD1CA2"/>
    <w:rsid w:val="00BD1E35"/>
    <w:rsid w:val="00BD2041"/>
    <w:rsid w:val="00BD20C6"/>
    <w:rsid w:val="00BD2119"/>
    <w:rsid w:val="00BD23D1"/>
    <w:rsid w:val="00BD2458"/>
    <w:rsid w:val="00BD2908"/>
    <w:rsid w:val="00BD2D63"/>
    <w:rsid w:val="00BD2E05"/>
    <w:rsid w:val="00BD2E7F"/>
    <w:rsid w:val="00BD3125"/>
    <w:rsid w:val="00BD3200"/>
    <w:rsid w:val="00BD332C"/>
    <w:rsid w:val="00BD3572"/>
    <w:rsid w:val="00BD37E4"/>
    <w:rsid w:val="00BD388B"/>
    <w:rsid w:val="00BD3B0D"/>
    <w:rsid w:val="00BD3BE6"/>
    <w:rsid w:val="00BD3D4B"/>
    <w:rsid w:val="00BD485B"/>
    <w:rsid w:val="00BD489F"/>
    <w:rsid w:val="00BD4982"/>
    <w:rsid w:val="00BD49EC"/>
    <w:rsid w:val="00BD4CA7"/>
    <w:rsid w:val="00BD51D5"/>
    <w:rsid w:val="00BD53FD"/>
    <w:rsid w:val="00BD5424"/>
    <w:rsid w:val="00BD55AA"/>
    <w:rsid w:val="00BD57C3"/>
    <w:rsid w:val="00BD5A8E"/>
    <w:rsid w:val="00BD5F45"/>
    <w:rsid w:val="00BD6089"/>
    <w:rsid w:val="00BD6200"/>
    <w:rsid w:val="00BD6314"/>
    <w:rsid w:val="00BD6500"/>
    <w:rsid w:val="00BD674C"/>
    <w:rsid w:val="00BD698C"/>
    <w:rsid w:val="00BD6C14"/>
    <w:rsid w:val="00BD6C89"/>
    <w:rsid w:val="00BD725C"/>
    <w:rsid w:val="00BD731D"/>
    <w:rsid w:val="00BD7422"/>
    <w:rsid w:val="00BD77B7"/>
    <w:rsid w:val="00BD786D"/>
    <w:rsid w:val="00BD79B9"/>
    <w:rsid w:val="00BD7A3D"/>
    <w:rsid w:val="00BD7B7C"/>
    <w:rsid w:val="00BE00E2"/>
    <w:rsid w:val="00BE0221"/>
    <w:rsid w:val="00BE0403"/>
    <w:rsid w:val="00BE0B19"/>
    <w:rsid w:val="00BE0C1D"/>
    <w:rsid w:val="00BE0EE0"/>
    <w:rsid w:val="00BE1076"/>
    <w:rsid w:val="00BE11A4"/>
    <w:rsid w:val="00BE163B"/>
    <w:rsid w:val="00BE16EB"/>
    <w:rsid w:val="00BE17EC"/>
    <w:rsid w:val="00BE1A6B"/>
    <w:rsid w:val="00BE1AA1"/>
    <w:rsid w:val="00BE1AE0"/>
    <w:rsid w:val="00BE1C37"/>
    <w:rsid w:val="00BE1C47"/>
    <w:rsid w:val="00BE1F98"/>
    <w:rsid w:val="00BE24C2"/>
    <w:rsid w:val="00BE2A9B"/>
    <w:rsid w:val="00BE2B2D"/>
    <w:rsid w:val="00BE2EA0"/>
    <w:rsid w:val="00BE2F38"/>
    <w:rsid w:val="00BE3163"/>
    <w:rsid w:val="00BE33C9"/>
    <w:rsid w:val="00BE3415"/>
    <w:rsid w:val="00BE3E4C"/>
    <w:rsid w:val="00BE3F2D"/>
    <w:rsid w:val="00BE4340"/>
    <w:rsid w:val="00BE4519"/>
    <w:rsid w:val="00BE4818"/>
    <w:rsid w:val="00BE4887"/>
    <w:rsid w:val="00BE49E2"/>
    <w:rsid w:val="00BE4B19"/>
    <w:rsid w:val="00BE4CB2"/>
    <w:rsid w:val="00BE4E52"/>
    <w:rsid w:val="00BE4EE3"/>
    <w:rsid w:val="00BE5402"/>
    <w:rsid w:val="00BE56E7"/>
    <w:rsid w:val="00BE5A89"/>
    <w:rsid w:val="00BE5ACF"/>
    <w:rsid w:val="00BE5DF5"/>
    <w:rsid w:val="00BE5EDF"/>
    <w:rsid w:val="00BE5F88"/>
    <w:rsid w:val="00BE6171"/>
    <w:rsid w:val="00BE6498"/>
    <w:rsid w:val="00BE67EE"/>
    <w:rsid w:val="00BE6AEC"/>
    <w:rsid w:val="00BE6E5A"/>
    <w:rsid w:val="00BE733D"/>
    <w:rsid w:val="00BE747D"/>
    <w:rsid w:val="00BE7630"/>
    <w:rsid w:val="00BE7BB4"/>
    <w:rsid w:val="00BE7BFC"/>
    <w:rsid w:val="00BE7DC3"/>
    <w:rsid w:val="00BE7F37"/>
    <w:rsid w:val="00BF00DA"/>
    <w:rsid w:val="00BF03C9"/>
    <w:rsid w:val="00BF0BA7"/>
    <w:rsid w:val="00BF0D74"/>
    <w:rsid w:val="00BF0FB2"/>
    <w:rsid w:val="00BF1224"/>
    <w:rsid w:val="00BF1379"/>
    <w:rsid w:val="00BF1400"/>
    <w:rsid w:val="00BF143B"/>
    <w:rsid w:val="00BF144E"/>
    <w:rsid w:val="00BF1ACE"/>
    <w:rsid w:val="00BF1E31"/>
    <w:rsid w:val="00BF1E55"/>
    <w:rsid w:val="00BF1EFA"/>
    <w:rsid w:val="00BF2071"/>
    <w:rsid w:val="00BF21DB"/>
    <w:rsid w:val="00BF27E1"/>
    <w:rsid w:val="00BF2955"/>
    <w:rsid w:val="00BF30C1"/>
    <w:rsid w:val="00BF344F"/>
    <w:rsid w:val="00BF3506"/>
    <w:rsid w:val="00BF383B"/>
    <w:rsid w:val="00BF3A3C"/>
    <w:rsid w:val="00BF3BE2"/>
    <w:rsid w:val="00BF3DE3"/>
    <w:rsid w:val="00BF3FF1"/>
    <w:rsid w:val="00BF4BC8"/>
    <w:rsid w:val="00BF4E2C"/>
    <w:rsid w:val="00BF4E31"/>
    <w:rsid w:val="00BF5758"/>
    <w:rsid w:val="00BF5A30"/>
    <w:rsid w:val="00BF5B01"/>
    <w:rsid w:val="00BF5C42"/>
    <w:rsid w:val="00BF5E43"/>
    <w:rsid w:val="00BF604B"/>
    <w:rsid w:val="00BF6061"/>
    <w:rsid w:val="00BF6115"/>
    <w:rsid w:val="00BF662D"/>
    <w:rsid w:val="00BF66B1"/>
    <w:rsid w:val="00BF6B34"/>
    <w:rsid w:val="00BF6B9A"/>
    <w:rsid w:val="00BF6C4D"/>
    <w:rsid w:val="00BF6D82"/>
    <w:rsid w:val="00BF73EA"/>
    <w:rsid w:val="00BF75BD"/>
    <w:rsid w:val="00BF7694"/>
    <w:rsid w:val="00BF7711"/>
    <w:rsid w:val="00BF77D5"/>
    <w:rsid w:val="00BF7CCF"/>
    <w:rsid w:val="00BF7D3D"/>
    <w:rsid w:val="00BF7EA5"/>
    <w:rsid w:val="00BF7F65"/>
    <w:rsid w:val="00C0026C"/>
    <w:rsid w:val="00C00423"/>
    <w:rsid w:val="00C0072B"/>
    <w:rsid w:val="00C00788"/>
    <w:rsid w:val="00C00B15"/>
    <w:rsid w:val="00C013EF"/>
    <w:rsid w:val="00C01FAA"/>
    <w:rsid w:val="00C020A6"/>
    <w:rsid w:val="00C0262C"/>
    <w:rsid w:val="00C02A28"/>
    <w:rsid w:val="00C02E55"/>
    <w:rsid w:val="00C037A7"/>
    <w:rsid w:val="00C038DB"/>
    <w:rsid w:val="00C039A5"/>
    <w:rsid w:val="00C03ABE"/>
    <w:rsid w:val="00C03D65"/>
    <w:rsid w:val="00C03DBB"/>
    <w:rsid w:val="00C042DE"/>
    <w:rsid w:val="00C043C0"/>
    <w:rsid w:val="00C04525"/>
    <w:rsid w:val="00C04C9A"/>
    <w:rsid w:val="00C04CC8"/>
    <w:rsid w:val="00C04E59"/>
    <w:rsid w:val="00C050A3"/>
    <w:rsid w:val="00C05A4F"/>
    <w:rsid w:val="00C05B0D"/>
    <w:rsid w:val="00C05FFB"/>
    <w:rsid w:val="00C063D5"/>
    <w:rsid w:val="00C0669F"/>
    <w:rsid w:val="00C06731"/>
    <w:rsid w:val="00C06AE5"/>
    <w:rsid w:val="00C06CD1"/>
    <w:rsid w:val="00C06D9C"/>
    <w:rsid w:val="00C06ECC"/>
    <w:rsid w:val="00C06F85"/>
    <w:rsid w:val="00C06FC3"/>
    <w:rsid w:val="00C0715E"/>
    <w:rsid w:val="00C072D2"/>
    <w:rsid w:val="00C073B8"/>
    <w:rsid w:val="00C07583"/>
    <w:rsid w:val="00C077F4"/>
    <w:rsid w:val="00C0785B"/>
    <w:rsid w:val="00C07937"/>
    <w:rsid w:val="00C0794B"/>
    <w:rsid w:val="00C07EF5"/>
    <w:rsid w:val="00C07FE0"/>
    <w:rsid w:val="00C1022E"/>
    <w:rsid w:val="00C10374"/>
    <w:rsid w:val="00C1093B"/>
    <w:rsid w:val="00C109A9"/>
    <w:rsid w:val="00C10A72"/>
    <w:rsid w:val="00C10B59"/>
    <w:rsid w:val="00C1101E"/>
    <w:rsid w:val="00C1117B"/>
    <w:rsid w:val="00C114FE"/>
    <w:rsid w:val="00C1191A"/>
    <w:rsid w:val="00C119D1"/>
    <w:rsid w:val="00C11ADC"/>
    <w:rsid w:val="00C11C9C"/>
    <w:rsid w:val="00C11E37"/>
    <w:rsid w:val="00C121CF"/>
    <w:rsid w:val="00C12416"/>
    <w:rsid w:val="00C12452"/>
    <w:rsid w:val="00C12D0E"/>
    <w:rsid w:val="00C1337B"/>
    <w:rsid w:val="00C13492"/>
    <w:rsid w:val="00C1399C"/>
    <w:rsid w:val="00C13C93"/>
    <w:rsid w:val="00C13D8B"/>
    <w:rsid w:val="00C13D92"/>
    <w:rsid w:val="00C13F69"/>
    <w:rsid w:val="00C14153"/>
    <w:rsid w:val="00C14724"/>
    <w:rsid w:val="00C14821"/>
    <w:rsid w:val="00C1492C"/>
    <w:rsid w:val="00C14E26"/>
    <w:rsid w:val="00C151F1"/>
    <w:rsid w:val="00C15921"/>
    <w:rsid w:val="00C15EB6"/>
    <w:rsid w:val="00C15FD8"/>
    <w:rsid w:val="00C16192"/>
    <w:rsid w:val="00C16306"/>
    <w:rsid w:val="00C1638D"/>
    <w:rsid w:val="00C164D7"/>
    <w:rsid w:val="00C164E9"/>
    <w:rsid w:val="00C16554"/>
    <w:rsid w:val="00C16753"/>
    <w:rsid w:val="00C16823"/>
    <w:rsid w:val="00C16B18"/>
    <w:rsid w:val="00C16C7F"/>
    <w:rsid w:val="00C16EC0"/>
    <w:rsid w:val="00C17206"/>
    <w:rsid w:val="00C174BE"/>
    <w:rsid w:val="00C17760"/>
    <w:rsid w:val="00C177E5"/>
    <w:rsid w:val="00C17830"/>
    <w:rsid w:val="00C17910"/>
    <w:rsid w:val="00C179DE"/>
    <w:rsid w:val="00C17BAF"/>
    <w:rsid w:val="00C20417"/>
    <w:rsid w:val="00C20477"/>
    <w:rsid w:val="00C205E6"/>
    <w:rsid w:val="00C209A4"/>
    <w:rsid w:val="00C20C04"/>
    <w:rsid w:val="00C20DAF"/>
    <w:rsid w:val="00C211B2"/>
    <w:rsid w:val="00C215C8"/>
    <w:rsid w:val="00C2168E"/>
    <w:rsid w:val="00C21735"/>
    <w:rsid w:val="00C2180F"/>
    <w:rsid w:val="00C21C28"/>
    <w:rsid w:val="00C21E0D"/>
    <w:rsid w:val="00C21F25"/>
    <w:rsid w:val="00C21F6E"/>
    <w:rsid w:val="00C22452"/>
    <w:rsid w:val="00C2294D"/>
    <w:rsid w:val="00C22D71"/>
    <w:rsid w:val="00C22DF3"/>
    <w:rsid w:val="00C22F43"/>
    <w:rsid w:val="00C2323C"/>
    <w:rsid w:val="00C23253"/>
    <w:rsid w:val="00C2350E"/>
    <w:rsid w:val="00C2354C"/>
    <w:rsid w:val="00C2379C"/>
    <w:rsid w:val="00C23B93"/>
    <w:rsid w:val="00C23BF8"/>
    <w:rsid w:val="00C23EAD"/>
    <w:rsid w:val="00C244A9"/>
    <w:rsid w:val="00C2491D"/>
    <w:rsid w:val="00C24A8F"/>
    <w:rsid w:val="00C24AF0"/>
    <w:rsid w:val="00C24C4B"/>
    <w:rsid w:val="00C24E8C"/>
    <w:rsid w:val="00C24F2C"/>
    <w:rsid w:val="00C2523F"/>
    <w:rsid w:val="00C2531C"/>
    <w:rsid w:val="00C2542A"/>
    <w:rsid w:val="00C25C69"/>
    <w:rsid w:val="00C2600F"/>
    <w:rsid w:val="00C26062"/>
    <w:rsid w:val="00C260CC"/>
    <w:rsid w:val="00C261C4"/>
    <w:rsid w:val="00C26238"/>
    <w:rsid w:val="00C262F5"/>
    <w:rsid w:val="00C263CB"/>
    <w:rsid w:val="00C265E0"/>
    <w:rsid w:val="00C2677B"/>
    <w:rsid w:val="00C26AC8"/>
    <w:rsid w:val="00C26D67"/>
    <w:rsid w:val="00C27024"/>
    <w:rsid w:val="00C27057"/>
    <w:rsid w:val="00C2713B"/>
    <w:rsid w:val="00C2747B"/>
    <w:rsid w:val="00C274F0"/>
    <w:rsid w:val="00C27909"/>
    <w:rsid w:val="00C27AAE"/>
    <w:rsid w:val="00C27C47"/>
    <w:rsid w:val="00C27E7E"/>
    <w:rsid w:val="00C30079"/>
    <w:rsid w:val="00C30558"/>
    <w:rsid w:val="00C306A0"/>
    <w:rsid w:val="00C30AD8"/>
    <w:rsid w:val="00C31023"/>
    <w:rsid w:val="00C31211"/>
    <w:rsid w:val="00C313EE"/>
    <w:rsid w:val="00C31A38"/>
    <w:rsid w:val="00C31AE7"/>
    <w:rsid w:val="00C31CFB"/>
    <w:rsid w:val="00C32064"/>
    <w:rsid w:val="00C32075"/>
    <w:rsid w:val="00C32400"/>
    <w:rsid w:val="00C32596"/>
    <w:rsid w:val="00C326B7"/>
    <w:rsid w:val="00C3275F"/>
    <w:rsid w:val="00C3290E"/>
    <w:rsid w:val="00C32954"/>
    <w:rsid w:val="00C32B73"/>
    <w:rsid w:val="00C32C96"/>
    <w:rsid w:val="00C32EEB"/>
    <w:rsid w:val="00C3305E"/>
    <w:rsid w:val="00C332F8"/>
    <w:rsid w:val="00C33639"/>
    <w:rsid w:val="00C3373C"/>
    <w:rsid w:val="00C33891"/>
    <w:rsid w:val="00C3391A"/>
    <w:rsid w:val="00C33C48"/>
    <w:rsid w:val="00C33C97"/>
    <w:rsid w:val="00C33F53"/>
    <w:rsid w:val="00C3409C"/>
    <w:rsid w:val="00C3419A"/>
    <w:rsid w:val="00C3433E"/>
    <w:rsid w:val="00C343A4"/>
    <w:rsid w:val="00C34B8E"/>
    <w:rsid w:val="00C34F42"/>
    <w:rsid w:val="00C3526D"/>
    <w:rsid w:val="00C35738"/>
    <w:rsid w:val="00C35740"/>
    <w:rsid w:val="00C3583C"/>
    <w:rsid w:val="00C35DAB"/>
    <w:rsid w:val="00C35DFD"/>
    <w:rsid w:val="00C35EBA"/>
    <w:rsid w:val="00C35ECD"/>
    <w:rsid w:val="00C36302"/>
    <w:rsid w:val="00C363A7"/>
    <w:rsid w:val="00C36B9A"/>
    <w:rsid w:val="00C36C58"/>
    <w:rsid w:val="00C36EFB"/>
    <w:rsid w:val="00C371DB"/>
    <w:rsid w:val="00C373A0"/>
    <w:rsid w:val="00C37444"/>
    <w:rsid w:val="00C37899"/>
    <w:rsid w:val="00C37988"/>
    <w:rsid w:val="00C37BA1"/>
    <w:rsid w:val="00C37D5D"/>
    <w:rsid w:val="00C37E19"/>
    <w:rsid w:val="00C4042A"/>
    <w:rsid w:val="00C408B9"/>
    <w:rsid w:val="00C40B00"/>
    <w:rsid w:val="00C40C90"/>
    <w:rsid w:val="00C40ECD"/>
    <w:rsid w:val="00C40F37"/>
    <w:rsid w:val="00C41206"/>
    <w:rsid w:val="00C4129A"/>
    <w:rsid w:val="00C415D2"/>
    <w:rsid w:val="00C417F7"/>
    <w:rsid w:val="00C418A1"/>
    <w:rsid w:val="00C41D4B"/>
    <w:rsid w:val="00C4267B"/>
    <w:rsid w:val="00C42796"/>
    <w:rsid w:val="00C427AD"/>
    <w:rsid w:val="00C428C3"/>
    <w:rsid w:val="00C42E70"/>
    <w:rsid w:val="00C4341A"/>
    <w:rsid w:val="00C4341E"/>
    <w:rsid w:val="00C43B25"/>
    <w:rsid w:val="00C43BD7"/>
    <w:rsid w:val="00C43E03"/>
    <w:rsid w:val="00C440AC"/>
    <w:rsid w:val="00C4425F"/>
    <w:rsid w:val="00C44336"/>
    <w:rsid w:val="00C4433C"/>
    <w:rsid w:val="00C44530"/>
    <w:rsid w:val="00C44582"/>
    <w:rsid w:val="00C44644"/>
    <w:rsid w:val="00C447F8"/>
    <w:rsid w:val="00C44CAF"/>
    <w:rsid w:val="00C45491"/>
    <w:rsid w:val="00C45506"/>
    <w:rsid w:val="00C45749"/>
    <w:rsid w:val="00C457E7"/>
    <w:rsid w:val="00C458DF"/>
    <w:rsid w:val="00C45A2C"/>
    <w:rsid w:val="00C45D4A"/>
    <w:rsid w:val="00C461D9"/>
    <w:rsid w:val="00C46520"/>
    <w:rsid w:val="00C467B8"/>
    <w:rsid w:val="00C46A0E"/>
    <w:rsid w:val="00C46BCA"/>
    <w:rsid w:val="00C46CC0"/>
    <w:rsid w:val="00C46D9B"/>
    <w:rsid w:val="00C46EC5"/>
    <w:rsid w:val="00C46FED"/>
    <w:rsid w:val="00C4749D"/>
    <w:rsid w:val="00C47543"/>
    <w:rsid w:val="00C47847"/>
    <w:rsid w:val="00C4787B"/>
    <w:rsid w:val="00C4787C"/>
    <w:rsid w:val="00C47932"/>
    <w:rsid w:val="00C500EF"/>
    <w:rsid w:val="00C504E8"/>
    <w:rsid w:val="00C5052F"/>
    <w:rsid w:val="00C50550"/>
    <w:rsid w:val="00C507A1"/>
    <w:rsid w:val="00C507D0"/>
    <w:rsid w:val="00C508F2"/>
    <w:rsid w:val="00C50900"/>
    <w:rsid w:val="00C50AE8"/>
    <w:rsid w:val="00C50B81"/>
    <w:rsid w:val="00C50D43"/>
    <w:rsid w:val="00C50DD5"/>
    <w:rsid w:val="00C50E98"/>
    <w:rsid w:val="00C50F1F"/>
    <w:rsid w:val="00C50FC2"/>
    <w:rsid w:val="00C510E3"/>
    <w:rsid w:val="00C518E4"/>
    <w:rsid w:val="00C518F9"/>
    <w:rsid w:val="00C519A1"/>
    <w:rsid w:val="00C51F22"/>
    <w:rsid w:val="00C52169"/>
    <w:rsid w:val="00C523B4"/>
    <w:rsid w:val="00C524B4"/>
    <w:rsid w:val="00C5255C"/>
    <w:rsid w:val="00C525A0"/>
    <w:rsid w:val="00C526BE"/>
    <w:rsid w:val="00C52A08"/>
    <w:rsid w:val="00C52BC3"/>
    <w:rsid w:val="00C52F98"/>
    <w:rsid w:val="00C52FD5"/>
    <w:rsid w:val="00C53003"/>
    <w:rsid w:val="00C531F2"/>
    <w:rsid w:val="00C5336A"/>
    <w:rsid w:val="00C534DD"/>
    <w:rsid w:val="00C53585"/>
    <w:rsid w:val="00C53C46"/>
    <w:rsid w:val="00C542BC"/>
    <w:rsid w:val="00C54719"/>
    <w:rsid w:val="00C5476B"/>
    <w:rsid w:val="00C5479F"/>
    <w:rsid w:val="00C548F9"/>
    <w:rsid w:val="00C54CFF"/>
    <w:rsid w:val="00C54E41"/>
    <w:rsid w:val="00C54E84"/>
    <w:rsid w:val="00C54FF0"/>
    <w:rsid w:val="00C5503D"/>
    <w:rsid w:val="00C553CA"/>
    <w:rsid w:val="00C55AE9"/>
    <w:rsid w:val="00C5643F"/>
    <w:rsid w:val="00C5678E"/>
    <w:rsid w:val="00C5697F"/>
    <w:rsid w:val="00C56A71"/>
    <w:rsid w:val="00C56D87"/>
    <w:rsid w:val="00C56D8C"/>
    <w:rsid w:val="00C56DF3"/>
    <w:rsid w:val="00C57041"/>
    <w:rsid w:val="00C5714D"/>
    <w:rsid w:val="00C57400"/>
    <w:rsid w:val="00C574D5"/>
    <w:rsid w:val="00C57540"/>
    <w:rsid w:val="00C575CE"/>
    <w:rsid w:val="00C5777F"/>
    <w:rsid w:val="00C57935"/>
    <w:rsid w:val="00C579BD"/>
    <w:rsid w:val="00C57ACA"/>
    <w:rsid w:val="00C57CD0"/>
    <w:rsid w:val="00C601FC"/>
    <w:rsid w:val="00C605A3"/>
    <w:rsid w:val="00C60899"/>
    <w:rsid w:val="00C60C05"/>
    <w:rsid w:val="00C60C54"/>
    <w:rsid w:val="00C610B3"/>
    <w:rsid w:val="00C610E6"/>
    <w:rsid w:val="00C61707"/>
    <w:rsid w:val="00C618F7"/>
    <w:rsid w:val="00C619AD"/>
    <w:rsid w:val="00C61D37"/>
    <w:rsid w:val="00C623E9"/>
    <w:rsid w:val="00C62446"/>
    <w:rsid w:val="00C625F4"/>
    <w:rsid w:val="00C6278D"/>
    <w:rsid w:val="00C627C0"/>
    <w:rsid w:val="00C62B3A"/>
    <w:rsid w:val="00C62C42"/>
    <w:rsid w:val="00C62D52"/>
    <w:rsid w:val="00C62E0C"/>
    <w:rsid w:val="00C62F36"/>
    <w:rsid w:val="00C62FC1"/>
    <w:rsid w:val="00C630C1"/>
    <w:rsid w:val="00C6323B"/>
    <w:rsid w:val="00C6395E"/>
    <w:rsid w:val="00C63A06"/>
    <w:rsid w:val="00C63B19"/>
    <w:rsid w:val="00C63E93"/>
    <w:rsid w:val="00C63ECC"/>
    <w:rsid w:val="00C63FD6"/>
    <w:rsid w:val="00C6481B"/>
    <w:rsid w:val="00C64901"/>
    <w:rsid w:val="00C64C2C"/>
    <w:rsid w:val="00C64D98"/>
    <w:rsid w:val="00C65214"/>
    <w:rsid w:val="00C6524B"/>
    <w:rsid w:val="00C65684"/>
    <w:rsid w:val="00C65B50"/>
    <w:rsid w:val="00C65B90"/>
    <w:rsid w:val="00C65DCE"/>
    <w:rsid w:val="00C65FF5"/>
    <w:rsid w:val="00C66087"/>
    <w:rsid w:val="00C6612A"/>
    <w:rsid w:val="00C661F4"/>
    <w:rsid w:val="00C6646A"/>
    <w:rsid w:val="00C665D0"/>
    <w:rsid w:val="00C66787"/>
    <w:rsid w:val="00C6696B"/>
    <w:rsid w:val="00C66C91"/>
    <w:rsid w:val="00C66DB8"/>
    <w:rsid w:val="00C66E24"/>
    <w:rsid w:val="00C66F01"/>
    <w:rsid w:val="00C67061"/>
    <w:rsid w:val="00C6733E"/>
    <w:rsid w:val="00C67669"/>
    <w:rsid w:val="00C6779A"/>
    <w:rsid w:val="00C6786F"/>
    <w:rsid w:val="00C67AE9"/>
    <w:rsid w:val="00C67B0D"/>
    <w:rsid w:val="00C7020A"/>
    <w:rsid w:val="00C70252"/>
    <w:rsid w:val="00C708F5"/>
    <w:rsid w:val="00C70906"/>
    <w:rsid w:val="00C70A2E"/>
    <w:rsid w:val="00C70A31"/>
    <w:rsid w:val="00C7109E"/>
    <w:rsid w:val="00C7111F"/>
    <w:rsid w:val="00C712E4"/>
    <w:rsid w:val="00C71319"/>
    <w:rsid w:val="00C713EB"/>
    <w:rsid w:val="00C7151E"/>
    <w:rsid w:val="00C7166F"/>
    <w:rsid w:val="00C71A31"/>
    <w:rsid w:val="00C71D68"/>
    <w:rsid w:val="00C72207"/>
    <w:rsid w:val="00C7230A"/>
    <w:rsid w:val="00C724D3"/>
    <w:rsid w:val="00C726EE"/>
    <w:rsid w:val="00C727DB"/>
    <w:rsid w:val="00C727F1"/>
    <w:rsid w:val="00C728BD"/>
    <w:rsid w:val="00C72E59"/>
    <w:rsid w:val="00C72EBB"/>
    <w:rsid w:val="00C73460"/>
    <w:rsid w:val="00C73736"/>
    <w:rsid w:val="00C73D65"/>
    <w:rsid w:val="00C73DF4"/>
    <w:rsid w:val="00C74023"/>
    <w:rsid w:val="00C740DD"/>
    <w:rsid w:val="00C74182"/>
    <w:rsid w:val="00C74674"/>
    <w:rsid w:val="00C749FC"/>
    <w:rsid w:val="00C74C7D"/>
    <w:rsid w:val="00C74E39"/>
    <w:rsid w:val="00C74E53"/>
    <w:rsid w:val="00C74F60"/>
    <w:rsid w:val="00C75054"/>
    <w:rsid w:val="00C751C3"/>
    <w:rsid w:val="00C7553D"/>
    <w:rsid w:val="00C7575B"/>
    <w:rsid w:val="00C757FA"/>
    <w:rsid w:val="00C75996"/>
    <w:rsid w:val="00C75BF4"/>
    <w:rsid w:val="00C76011"/>
    <w:rsid w:val="00C761F6"/>
    <w:rsid w:val="00C7637E"/>
    <w:rsid w:val="00C764BC"/>
    <w:rsid w:val="00C76509"/>
    <w:rsid w:val="00C76723"/>
    <w:rsid w:val="00C769D4"/>
    <w:rsid w:val="00C76BFC"/>
    <w:rsid w:val="00C7719A"/>
    <w:rsid w:val="00C77254"/>
    <w:rsid w:val="00C77508"/>
    <w:rsid w:val="00C7751D"/>
    <w:rsid w:val="00C77675"/>
    <w:rsid w:val="00C77C5F"/>
    <w:rsid w:val="00C77C81"/>
    <w:rsid w:val="00C77CD4"/>
    <w:rsid w:val="00C8003A"/>
    <w:rsid w:val="00C8012B"/>
    <w:rsid w:val="00C8070D"/>
    <w:rsid w:val="00C80EC4"/>
    <w:rsid w:val="00C80EE8"/>
    <w:rsid w:val="00C80F6F"/>
    <w:rsid w:val="00C81319"/>
    <w:rsid w:val="00C8138C"/>
    <w:rsid w:val="00C81654"/>
    <w:rsid w:val="00C8174A"/>
    <w:rsid w:val="00C81956"/>
    <w:rsid w:val="00C81A98"/>
    <w:rsid w:val="00C81B68"/>
    <w:rsid w:val="00C81D2A"/>
    <w:rsid w:val="00C81DE5"/>
    <w:rsid w:val="00C81EBA"/>
    <w:rsid w:val="00C82108"/>
    <w:rsid w:val="00C82165"/>
    <w:rsid w:val="00C8246A"/>
    <w:rsid w:val="00C82474"/>
    <w:rsid w:val="00C82589"/>
    <w:rsid w:val="00C82986"/>
    <w:rsid w:val="00C829E9"/>
    <w:rsid w:val="00C82D03"/>
    <w:rsid w:val="00C8346C"/>
    <w:rsid w:val="00C83B83"/>
    <w:rsid w:val="00C83E1B"/>
    <w:rsid w:val="00C83F1A"/>
    <w:rsid w:val="00C83F2D"/>
    <w:rsid w:val="00C83FE1"/>
    <w:rsid w:val="00C83FFE"/>
    <w:rsid w:val="00C8483B"/>
    <w:rsid w:val="00C849B8"/>
    <w:rsid w:val="00C851FF"/>
    <w:rsid w:val="00C852C6"/>
    <w:rsid w:val="00C8554C"/>
    <w:rsid w:val="00C858D8"/>
    <w:rsid w:val="00C85B13"/>
    <w:rsid w:val="00C85B37"/>
    <w:rsid w:val="00C85B9C"/>
    <w:rsid w:val="00C85D38"/>
    <w:rsid w:val="00C85ED1"/>
    <w:rsid w:val="00C8758C"/>
    <w:rsid w:val="00C87F3E"/>
    <w:rsid w:val="00C90137"/>
    <w:rsid w:val="00C90141"/>
    <w:rsid w:val="00C901A6"/>
    <w:rsid w:val="00C90215"/>
    <w:rsid w:val="00C90580"/>
    <w:rsid w:val="00C908A2"/>
    <w:rsid w:val="00C90ECA"/>
    <w:rsid w:val="00C90F79"/>
    <w:rsid w:val="00C91076"/>
    <w:rsid w:val="00C9113A"/>
    <w:rsid w:val="00C911A8"/>
    <w:rsid w:val="00C9134C"/>
    <w:rsid w:val="00C915E2"/>
    <w:rsid w:val="00C91722"/>
    <w:rsid w:val="00C91744"/>
    <w:rsid w:val="00C91F83"/>
    <w:rsid w:val="00C9213A"/>
    <w:rsid w:val="00C92509"/>
    <w:rsid w:val="00C925DC"/>
    <w:rsid w:val="00C92CBC"/>
    <w:rsid w:val="00C93265"/>
    <w:rsid w:val="00C93314"/>
    <w:rsid w:val="00C93590"/>
    <w:rsid w:val="00C9391F"/>
    <w:rsid w:val="00C93B31"/>
    <w:rsid w:val="00C93C94"/>
    <w:rsid w:val="00C93E11"/>
    <w:rsid w:val="00C94338"/>
    <w:rsid w:val="00C94614"/>
    <w:rsid w:val="00C947A7"/>
    <w:rsid w:val="00C947EB"/>
    <w:rsid w:val="00C94BAF"/>
    <w:rsid w:val="00C94EEC"/>
    <w:rsid w:val="00C94F60"/>
    <w:rsid w:val="00C951F7"/>
    <w:rsid w:val="00C95313"/>
    <w:rsid w:val="00C95473"/>
    <w:rsid w:val="00C955B1"/>
    <w:rsid w:val="00C95C70"/>
    <w:rsid w:val="00C961F1"/>
    <w:rsid w:val="00C96D18"/>
    <w:rsid w:val="00C971A5"/>
    <w:rsid w:val="00C97522"/>
    <w:rsid w:val="00C9755F"/>
    <w:rsid w:val="00C9779C"/>
    <w:rsid w:val="00C97C09"/>
    <w:rsid w:val="00C97C31"/>
    <w:rsid w:val="00CA00B2"/>
    <w:rsid w:val="00CA011E"/>
    <w:rsid w:val="00CA02DD"/>
    <w:rsid w:val="00CA038A"/>
    <w:rsid w:val="00CA0896"/>
    <w:rsid w:val="00CA0A9A"/>
    <w:rsid w:val="00CA0BD1"/>
    <w:rsid w:val="00CA120A"/>
    <w:rsid w:val="00CA12B1"/>
    <w:rsid w:val="00CA16BE"/>
    <w:rsid w:val="00CA1721"/>
    <w:rsid w:val="00CA1833"/>
    <w:rsid w:val="00CA1977"/>
    <w:rsid w:val="00CA1C2C"/>
    <w:rsid w:val="00CA1D1C"/>
    <w:rsid w:val="00CA1D38"/>
    <w:rsid w:val="00CA1ECA"/>
    <w:rsid w:val="00CA222F"/>
    <w:rsid w:val="00CA2421"/>
    <w:rsid w:val="00CA2441"/>
    <w:rsid w:val="00CA25D9"/>
    <w:rsid w:val="00CA296A"/>
    <w:rsid w:val="00CA2B38"/>
    <w:rsid w:val="00CA2C0B"/>
    <w:rsid w:val="00CA2F2D"/>
    <w:rsid w:val="00CA347F"/>
    <w:rsid w:val="00CA34B7"/>
    <w:rsid w:val="00CA3BDE"/>
    <w:rsid w:val="00CA3F6C"/>
    <w:rsid w:val="00CA406E"/>
    <w:rsid w:val="00CA4265"/>
    <w:rsid w:val="00CA430D"/>
    <w:rsid w:val="00CA449C"/>
    <w:rsid w:val="00CA46B6"/>
    <w:rsid w:val="00CA4944"/>
    <w:rsid w:val="00CA4DBB"/>
    <w:rsid w:val="00CA4F80"/>
    <w:rsid w:val="00CA5191"/>
    <w:rsid w:val="00CA535B"/>
    <w:rsid w:val="00CA55DA"/>
    <w:rsid w:val="00CA56D7"/>
    <w:rsid w:val="00CA572B"/>
    <w:rsid w:val="00CA583A"/>
    <w:rsid w:val="00CA5BD1"/>
    <w:rsid w:val="00CA63E0"/>
    <w:rsid w:val="00CA6414"/>
    <w:rsid w:val="00CA6957"/>
    <w:rsid w:val="00CA6991"/>
    <w:rsid w:val="00CA6AF8"/>
    <w:rsid w:val="00CA6D02"/>
    <w:rsid w:val="00CA6F89"/>
    <w:rsid w:val="00CA708B"/>
    <w:rsid w:val="00CA70BA"/>
    <w:rsid w:val="00CA720C"/>
    <w:rsid w:val="00CA738F"/>
    <w:rsid w:val="00CA73C3"/>
    <w:rsid w:val="00CA7704"/>
    <w:rsid w:val="00CA7847"/>
    <w:rsid w:val="00CA7B8F"/>
    <w:rsid w:val="00CA7DA5"/>
    <w:rsid w:val="00CB03D9"/>
    <w:rsid w:val="00CB07B7"/>
    <w:rsid w:val="00CB08A4"/>
    <w:rsid w:val="00CB0A65"/>
    <w:rsid w:val="00CB0A9A"/>
    <w:rsid w:val="00CB0B92"/>
    <w:rsid w:val="00CB0C6A"/>
    <w:rsid w:val="00CB0C72"/>
    <w:rsid w:val="00CB0E1A"/>
    <w:rsid w:val="00CB0E90"/>
    <w:rsid w:val="00CB105E"/>
    <w:rsid w:val="00CB10C4"/>
    <w:rsid w:val="00CB113A"/>
    <w:rsid w:val="00CB155D"/>
    <w:rsid w:val="00CB166B"/>
    <w:rsid w:val="00CB1744"/>
    <w:rsid w:val="00CB1824"/>
    <w:rsid w:val="00CB1AEF"/>
    <w:rsid w:val="00CB1B91"/>
    <w:rsid w:val="00CB1D13"/>
    <w:rsid w:val="00CB1DC8"/>
    <w:rsid w:val="00CB276E"/>
    <w:rsid w:val="00CB289B"/>
    <w:rsid w:val="00CB2909"/>
    <w:rsid w:val="00CB29B4"/>
    <w:rsid w:val="00CB2CF1"/>
    <w:rsid w:val="00CB30AE"/>
    <w:rsid w:val="00CB30E7"/>
    <w:rsid w:val="00CB3366"/>
    <w:rsid w:val="00CB3BA8"/>
    <w:rsid w:val="00CB3E2B"/>
    <w:rsid w:val="00CB4325"/>
    <w:rsid w:val="00CB4418"/>
    <w:rsid w:val="00CB4427"/>
    <w:rsid w:val="00CB45CF"/>
    <w:rsid w:val="00CB4740"/>
    <w:rsid w:val="00CB475E"/>
    <w:rsid w:val="00CB4903"/>
    <w:rsid w:val="00CB4A10"/>
    <w:rsid w:val="00CB4B83"/>
    <w:rsid w:val="00CB4C70"/>
    <w:rsid w:val="00CB502E"/>
    <w:rsid w:val="00CB5074"/>
    <w:rsid w:val="00CB50C3"/>
    <w:rsid w:val="00CB5460"/>
    <w:rsid w:val="00CB568E"/>
    <w:rsid w:val="00CB570E"/>
    <w:rsid w:val="00CB5AF1"/>
    <w:rsid w:val="00CB5B13"/>
    <w:rsid w:val="00CB5E2E"/>
    <w:rsid w:val="00CB619B"/>
    <w:rsid w:val="00CB6361"/>
    <w:rsid w:val="00CB6505"/>
    <w:rsid w:val="00CB65AD"/>
    <w:rsid w:val="00CB662C"/>
    <w:rsid w:val="00CB66CC"/>
    <w:rsid w:val="00CB66FA"/>
    <w:rsid w:val="00CB6B2E"/>
    <w:rsid w:val="00CB6DFE"/>
    <w:rsid w:val="00CB6E3F"/>
    <w:rsid w:val="00CB6F9B"/>
    <w:rsid w:val="00CB70EF"/>
    <w:rsid w:val="00CB711B"/>
    <w:rsid w:val="00CB7298"/>
    <w:rsid w:val="00CB72E6"/>
    <w:rsid w:val="00CB768E"/>
    <w:rsid w:val="00CB79A2"/>
    <w:rsid w:val="00CB7A1D"/>
    <w:rsid w:val="00CB7E2C"/>
    <w:rsid w:val="00CB7F8D"/>
    <w:rsid w:val="00CC044E"/>
    <w:rsid w:val="00CC0755"/>
    <w:rsid w:val="00CC0827"/>
    <w:rsid w:val="00CC098F"/>
    <w:rsid w:val="00CC0EB2"/>
    <w:rsid w:val="00CC14B3"/>
    <w:rsid w:val="00CC1566"/>
    <w:rsid w:val="00CC15CD"/>
    <w:rsid w:val="00CC16C4"/>
    <w:rsid w:val="00CC1AC0"/>
    <w:rsid w:val="00CC1C97"/>
    <w:rsid w:val="00CC1DC3"/>
    <w:rsid w:val="00CC1E54"/>
    <w:rsid w:val="00CC211C"/>
    <w:rsid w:val="00CC21B9"/>
    <w:rsid w:val="00CC2483"/>
    <w:rsid w:val="00CC2564"/>
    <w:rsid w:val="00CC26B7"/>
    <w:rsid w:val="00CC27CD"/>
    <w:rsid w:val="00CC2812"/>
    <w:rsid w:val="00CC2879"/>
    <w:rsid w:val="00CC29BE"/>
    <w:rsid w:val="00CC2CB3"/>
    <w:rsid w:val="00CC2E17"/>
    <w:rsid w:val="00CC2F6F"/>
    <w:rsid w:val="00CC306F"/>
    <w:rsid w:val="00CC32CE"/>
    <w:rsid w:val="00CC369C"/>
    <w:rsid w:val="00CC38D5"/>
    <w:rsid w:val="00CC390C"/>
    <w:rsid w:val="00CC3DEC"/>
    <w:rsid w:val="00CC3E5F"/>
    <w:rsid w:val="00CC3EE4"/>
    <w:rsid w:val="00CC4128"/>
    <w:rsid w:val="00CC4260"/>
    <w:rsid w:val="00CC42EE"/>
    <w:rsid w:val="00CC44A7"/>
    <w:rsid w:val="00CC4504"/>
    <w:rsid w:val="00CC4549"/>
    <w:rsid w:val="00CC4672"/>
    <w:rsid w:val="00CC49EE"/>
    <w:rsid w:val="00CC49F9"/>
    <w:rsid w:val="00CC4F26"/>
    <w:rsid w:val="00CC59F9"/>
    <w:rsid w:val="00CC5A75"/>
    <w:rsid w:val="00CC6186"/>
    <w:rsid w:val="00CC6474"/>
    <w:rsid w:val="00CC652B"/>
    <w:rsid w:val="00CC6687"/>
    <w:rsid w:val="00CC6943"/>
    <w:rsid w:val="00CC6BF4"/>
    <w:rsid w:val="00CC6C81"/>
    <w:rsid w:val="00CC6DC3"/>
    <w:rsid w:val="00CC6F76"/>
    <w:rsid w:val="00CC6F90"/>
    <w:rsid w:val="00CC705E"/>
    <w:rsid w:val="00CC7364"/>
    <w:rsid w:val="00CC7519"/>
    <w:rsid w:val="00CC7583"/>
    <w:rsid w:val="00CC7B24"/>
    <w:rsid w:val="00CC7C30"/>
    <w:rsid w:val="00CD02BD"/>
    <w:rsid w:val="00CD0623"/>
    <w:rsid w:val="00CD0DBF"/>
    <w:rsid w:val="00CD0FC9"/>
    <w:rsid w:val="00CD1011"/>
    <w:rsid w:val="00CD12AB"/>
    <w:rsid w:val="00CD12FA"/>
    <w:rsid w:val="00CD1BDC"/>
    <w:rsid w:val="00CD1D8D"/>
    <w:rsid w:val="00CD1DD7"/>
    <w:rsid w:val="00CD1F40"/>
    <w:rsid w:val="00CD27BC"/>
    <w:rsid w:val="00CD28DE"/>
    <w:rsid w:val="00CD2B8E"/>
    <w:rsid w:val="00CD2FC0"/>
    <w:rsid w:val="00CD30CD"/>
    <w:rsid w:val="00CD315D"/>
    <w:rsid w:val="00CD321F"/>
    <w:rsid w:val="00CD34C4"/>
    <w:rsid w:val="00CD38A9"/>
    <w:rsid w:val="00CD3E6B"/>
    <w:rsid w:val="00CD3F1C"/>
    <w:rsid w:val="00CD42A6"/>
    <w:rsid w:val="00CD4558"/>
    <w:rsid w:val="00CD4D36"/>
    <w:rsid w:val="00CD50C0"/>
    <w:rsid w:val="00CD5181"/>
    <w:rsid w:val="00CD5458"/>
    <w:rsid w:val="00CD562E"/>
    <w:rsid w:val="00CD5790"/>
    <w:rsid w:val="00CD5BBE"/>
    <w:rsid w:val="00CD6297"/>
    <w:rsid w:val="00CD6329"/>
    <w:rsid w:val="00CD6547"/>
    <w:rsid w:val="00CD6635"/>
    <w:rsid w:val="00CD6873"/>
    <w:rsid w:val="00CD68F9"/>
    <w:rsid w:val="00CD7737"/>
    <w:rsid w:val="00CE00A3"/>
    <w:rsid w:val="00CE012C"/>
    <w:rsid w:val="00CE019E"/>
    <w:rsid w:val="00CE01D8"/>
    <w:rsid w:val="00CE02DB"/>
    <w:rsid w:val="00CE035F"/>
    <w:rsid w:val="00CE062B"/>
    <w:rsid w:val="00CE07F5"/>
    <w:rsid w:val="00CE0A2B"/>
    <w:rsid w:val="00CE0A44"/>
    <w:rsid w:val="00CE0AD5"/>
    <w:rsid w:val="00CE0D69"/>
    <w:rsid w:val="00CE141C"/>
    <w:rsid w:val="00CE15E6"/>
    <w:rsid w:val="00CE1687"/>
    <w:rsid w:val="00CE16D7"/>
    <w:rsid w:val="00CE1935"/>
    <w:rsid w:val="00CE1A7A"/>
    <w:rsid w:val="00CE1AB2"/>
    <w:rsid w:val="00CE1B2D"/>
    <w:rsid w:val="00CE1B4C"/>
    <w:rsid w:val="00CE1F3D"/>
    <w:rsid w:val="00CE2198"/>
    <w:rsid w:val="00CE2532"/>
    <w:rsid w:val="00CE265D"/>
    <w:rsid w:val="00CE2939"/>
    <w:rsid w:val="00CE2A68"/>
    <w:rsid w:val="00CE2AFE"/>
    <w:rsid w:val="00CE2C2C"/>
    <w:rsid w:val="00CE2CD0"/>
    <w:rsid w:val="00CE2E0C"/>
    <w:rsid w:val="00CE31B6"/>
    <w:rsid w:val="00CE34A8"/>
    <w:rsid w:val="00CE3572"/>
    <w:rsid w:val="00CE39DA"/>
    <w:rsid w:val="00CE3B07"/>
    <w:rsid w:val="00CE3EE2"/>
    <w:rsid w:val="00CE40AD"/>
    <w:rsid w:val="00CE42FA"/>
    <w:rsid w:val="00CE4520"/>
    <w:rsid w:val="00CE46C6"/>
    <w:rsid w:val="00CE47DE"/>
    <w:rsid w:val="00CE488C"/>
    <w:rsid w:val="00CE4C91"/>
    <w:rsid w:val="00CE4CDC"/>
    <w:rsid w:val="00CE4D7A"/>
    <w:rsid w:val="00CE5CBF"/>
    <w:rsid w:val="00CE614B"/>
    <w:rsid w:val="00CE645B"/>
    <w:rsid w:val="00CE64BD"/>
    <w:rsid w:val="00CE653D"/>
    <w:rsid w:val="00CE6795"/>
    <w:rsid w:val="00CE679A"/>
    <w:rsid w:val="00CE6C8E"/>
    <w:rsid w:val="00CE6EB2"/>
    <w:rsid w:val="00CE70BC"/>
    <w:rsid w:val="00CE70F7"/>
    <w:rsid w:val="00CE73AE"/>
    <w:rsid w:val="00CE7A82"/>
    <w:rsid w:val="00CE7B65"/>
    <w:rsid w:val="00CE7C31"/>
    <w:rsid w:val="00CE7DBD"/>
    <w:rsid w:val="00CE7E56"/>
    <w:rsid w:val="00CE7FC7"/>
    <w:rsid w:val="00CF0105"/>
    <w:rsid w:val="00CF01AF"/>
    <w:rsid w:val="00CF0689"/>
    <w:rsid w:val="00CF077B"/>
    <w:rsid w:val="00CF0B27"/>
    <w:rsid w:val="00CF0F2A"/>
    <w:rsid w:val="00CF0FA0"/>
    <w:rsid w:val="00CF118F"/>
    <w:rsid w:val="00CF158D"/>
    <w:rsid w:val="00CF1E4F"/>
    <w:rsid w:val="00CF1E7E"/>
    <w:rsid w:val="00CF1EB3"/>
    <w:rsid w:val="00CF23F4"/>
    <w:rsid w:val="00CF2547"/>
    <w:rsid w:val="00CF2893"/>
    <w:rsid w:val="00CF2911"/>
    <w:rsid w:val="00CF29B4"/>
    <w:rsid w:val="00CF2B43"/>
    <w:rsid w:val="00CF2C2D"/>
    <w:rsid w:val="00CF2C58"/>
    <w:rsid w:val="00CF2CC0"/>
    <w:rsid w:val="00CF2E90"/>
    <w:rsid w:val="00CF3011"/>
    <w:rsid w:val="00CF35BD"/>
    <w:rsid w:val="00CF365F"/>
    <w:rsid w:val="00CF3F4B"/>
    <w:rsid w:val="00CF3FF3"/>
    <w:rsid w:val="00CF4148"/>
    <w:rsid w:val="00CF42BF"/>
    <w:rsid w:val="00CF438A"/>
    <w:rsid w:val="00CF4422"/>
    <w:rsid w:val="00CF4478"/>
    <w:rsid w:val="00CF48D5"/>
    <w:rsid w:val="00CF4935"/>
    <w:rsid w:val="00CF4CFD"/>
    <w:rsid w:val="00CF4F06"/>
    <w:rsid w:val="00CF4FDD"/>
    <w:rsid w:val="00CF51AF"/>
    <w:rsid w:val="00CF52CE"/>
    <w:rsid w:val="00CF534E"/>
    <w:rsid w:val="00CF540D"/>
    <w:rsid w:val="00CF574F"/>
    <w:rsid w:val="00CF5787"/>
    <w:rsid w:val="00CF5F28"/>
    <w:rsid w:val="00CF63D0"/>
    <w:rsid w:val="00CF68C3"/>
    <w:rsid w:val="00CF68D3"/>
    <w:rsid w:val="00CF6C3F"/>
    <w:rsid w:val="00CF6CDB"/>
    <w:rsid w:val="00CF6D1C"/>
    <w:rsid w:val="00CF6D4E"/>
    <w:rsid w:val="00CF6E49"/>
    <w:rsid w:val="00CF7037"/>
    <w:rsid w:val="00CF75EB"/>
    <w:rsid w:val="00CF7762"/>
    <w:rsid w:val="00CF7780"/>
    <w:rsid w:val="00CF7F5B"/>
    <w:rsid w:val="00CF7FFB"/>
    <w:rsid w:val="00D002D7"/>
    <w:rsid w:val="00D0044A"/>
    <w:rsid w:val="00D006AB"/>
    <w:rsid w:val="00D00B8A"/>
    <w:rsid w:val="00D00BA3"/>
    <w:rsid w:val="00D00C3B"/>
    <w:rsid w:val="00D00D05"/>
    <w:rsid w:val="00D00ECB"/>
    <w:rsid w:val="00D00F39"/>
    <w:rsid w:val="00D01620"/>
    <w:rsid w:val="00D01B52"/>
    <w:rsid w:val="00D01BEC"/>
    <w:rsid w:val="00D01E00"/>
    <w:rsid w:val="00D0210D"/>
    <w:rsid w:val="00D02425"/>
    <w:rsid w:val="00D026E6"/>
    <w:rsid w:val="00D02831"/>
    <w:rsid w:val="00D029B4"/>
    <w:rsid w:val="00D02B6F"/>
    <w:rsid w:val="00D02D2D"/>
    <w:rsid w:val="00D02E79"/>
    <w:rsid w:val="00D030B9"/>
    <w:rsid w:val="00D03196"/>
    <w:rsid w:val="00D03431"/>
    <w:rsid w:val="00D0355E"/>
    <w:rsid w:val="00D038E6"/>
    <w:rsid w:val="00D038F3"/>
    <w:rsid w:val="00D03AEF"/>
    <w:rsid w:val="00D03B63"/>
    <w:rsid w:val="00D03DAD"/>
    <w:rsid w:val="00D03F96"/>
    <w:rsid w:val="00D040F3"/>
    <w:rsid w:val="00D0414C"/>
    <w:rsid w:val="00D04336"/>
    <w:rsid w:val="00D0447D"/>
    <w:rsid w:val="00D04635"/>
    <w:rsid w:val="00D04AA2"/>
    <w:rsid w:val="00D04C5A"/>
    <w:rsid w:val="00D04E75"/>
    <w:rsid w:val="00D0550A"/>
    <w:rsid w:val="00D0576F"/>
    <w:rsid w:val="00D058F4"/>
    <w:rsid w:val="00D05DF7"/>
    <w:rsid w:val="00D061D3"/>
    <w:rsid w:val="00D06763"/>
    <w:rsid w:val="00D067CF"/>
    <w:rsid w:val="00D06A94"/>
    <w:rsid w:val="00D06B00"/>
    <w:rsid w:val="00D06B4C"/>
    <w:rsid w:val="00D06BE7"/>
    <w:rsid w:val="00D06D28"/>
    <w:rsid w:val="00D06E2C"/>
    <w:rsid w:val="00D07103"/>
    <w:rsid w:val="00D07359"/>
    <w:rsid w:val="00D07718"/>
    <w:rsid w:val="00D07760"/>
    <w:rsid w:val="00D07893"/>
    <w:rsid w:val="00D07C4D"/>
    <w:rsid w:val="00D07DE0"/>
    <w:rsid w:val="00D100FC"/>
    <w:rsid w:val="00D101CE"/>
    <w:rsid w:val="00D102C1"/>
    <w:rsid w:val="00D103C4"/>
    <w:rsid w:val="00D1048D"/>
    <w:rsid w:val="00D109CE"/>
    <w:rsid w:val="00D111A0"/>
    <w:rsid w:val="00D111A5"/>
    <w:rsid w:val="00D11474"/>
    <w:rsid w:val="00D1152E"/>
    <w:rsid w:val="00D11584"/>
    <w:rsid w:val="00D1158E"/>
    <w:rsid w:val="00D115D6"/>
    <w:rsid w:val="00D11817"/>
    <w:rsid w:val="00D11871"/>
    <w:rsid w:val="00D11B95"/>
    <w:rsid w:val="00D11C4C"/>
    <w:rsid w:val="00D11D75"/>
    <w:rsid w:val="00D11EC8"/>
    <w:rsid w:val="00D1257C"/>
    <w:rsid w:val="00D12822"/>
    <w:rsid w:val="00D12892"/>
    <w:rsid w:val="00D12970"/>
    <w:rsid w:val="00D12C89"/>
    <w:rsid w:val="00D12CF6"/>
    <w:rsid w:val="00D12D65"/>
    <w:rsid w:val="00D12FAE"/>
    <w:rsid w:val="00D1312B"/>
    <w:rsid w:val="00D133FE"/>
    <w:rsid w:val="00D13DB0"/>
    <w:rsid w:val="00D14280"/>
    <w:rsid w:val="00D142A3"/>
    <w:rsid w:val="00D142A5"/>
    <w:rsid w:val="00D144DE"/>
    <w:rsid w:val="00D1495A"/>
    <w:rsid w:val="00D1495B"/>
    <w:rsid w:val="00D14B21"/>
    <w:rsid w:val="00D14C6F"/>
    <w:rsid w:val="00D151AA"/>
    <w:rsid w:val="00D1536F"/>
    <w:rsid w:val="00D153CE"/>
    <w:rsid w:val="00D159C1"/>
    <w:rsid w:val="00D159DE"/>
    <w:rsid w:val="00D15A90"/>
    <w:rsid w:val="00D163D4"/>
    <w:rsid w:val="00D16499"/>
    <w:rsid w:val="00D16A8E"/>
    <w:rsid w:val="00D16C3B"/>
    <w:rsid w:val="00D16DE4"/>
    <w:rsid w:val="00D170D2"/>
    <w:rsid w:val="00D17784"/>
    <w:rsid w:val="00D17EC3"/>
    <w:rsid w:val="00D17EEE"/>
    <w:rsid w:val="00D20290"/>
    <w:rsid w:val="00D2045D"/>
    <w:rsid w:val="00D20460"/>
    <w:rsid w:val="00D204A8"/>
    <w:rsid w:val="00D2066F"/>
    <w:rsid w:val="00D20698"/>
    <w:rsid w:val="00D20CCC"/>
    <w:rsid w:val="00D20CCE"/>
    <w:rsid w:val="00D20D71"/>
    <w:rsid w:val="00D20DD9"/>
    <w:rsid w:val="00D21215"/>
    <w:rsid w:val="00D21221"/>
    <w:rsid w:val="00D21776"/>
    <w:rsid w:val="00D21833"/>
    <w:rsid w:val="00D22271"/>
    <w:rsid w:val="00D2245C"/>
    <w:rsid w:val="00D2249D"/>
    <w:rsid w:val="00D22631"/>
    <w:rsid w:val="00D22637"/>
    <w:rsid w:val="00D22678"/>
    <w:rsid w:val="00D229FD"/>
    <w:rsid w:val="00D22C1D"/>
    <w:rsid w:val="00D22D4B"/>
    <w:rsid w:val="00D23031"/>
    <w:rsid w:val="00D2310F"/>
    <w:rsid w:val="00D231C6"/>
    <w:rsid w:val="00D232BA"/>
    <w:rsid w:val="00D232EC"/>
    <w:rsid w:val="00D23660"/>
    <w:rsid w:val="00D23777"/>
    <w:rsid w:val="00D23853"/>
    <w:rsid w:val="00D238BB"/>
    <w:rsid w:val="00D238F8"/>
    <w:rsid w:val="00D23917"/>
    <w:rsid w:val="00D23981"/>
    <w:rsid w:val="00D23A9D"/>
    <w:rsid w:val="00D23C14"/>
    <w:rsid w:val="00D23E7D"/>
    <w:rsid w:val="00D2411A"/>
    <w:rsid w:val="00D243BA"/>
    <w:rsid w:val="00D2442C"/>
    <w:rsid w:val="00D2455F"/>
    <w:rsid w:val="00D246FC"/>
    <w:rsid w:val="00D2481C"/>
    <w:rsid w:val="00D24A71"/>
    <w:rsid w:val="00D24EEA"/>
    <w:rsid w:val="00D2512D"/>
    <w:rsid w:val="00D256AC"/>
    <w:rsid w:val="00D25797"/>
    <w:rsid w:val="00D259B1"/>
    <w:rsid w:val="00D25B21"/>
    <w:rsid w:val="00D25CED"/>
    <w:rsid w:val="00D26062"/>
    <w:rsid w:val="00D2628A"/>
    <w:rsid w:val="00D263B9"/>
    <w:rsid w:val="00D266FA"/>
    <w:rsid w:val="00D2683A"/>
    <w:rsid w:val="00D269BB"/>
    <w:rsid w:val="00D26A84"/>
    <w:rsid w:val="00D26AEB"/>
    <w:rsid w:val="00D26D4E"/>
    <w:rsid w:val="00D26D6C"/>
    <w:rsid w:val="00D27210"/>
    <w:rsid w:val="00D2745C"/>
    <w:rsid w:val="00D27460"/>
    <w:rsid w:val="00D274AD"/>
    <w:rsid w:val="00D275A8"/>
    <w:rsid w:val="00D27631"/>
    <w:rsid w:val="00D2763E"/>
    <w:rsid w:val="00D277D9"/>
    <w:rsid w:val="00D2789E"/>
    <w:rsid w:val="00D27C27"/>
    <w:rsid w:val="00D27C6E"/>
    <w:rsid w:val="00D30190"/>
    <w:rsid w:val="00D30786"/>
    <w:rsid w:val="00D307EE"/>
    <w:rsid w:val="00D30DB4"/>
    <w:rsid w:val="00D30FED"/>
    <w:rsid w:val="00D310CB"/>
    <w:rsid w:val="00D3138B"/>
    <w:rsid w:val="00D316D9"/>
    <w:rsid w:val="00D31763"/>
    <w:rsid w:val="00D3183E"/>
    <w:rsid w:val="00D3195C"/>
    <w:rsid w:val="00D31BE1"/>
    <w:rsid w:val="00D31E03"/>
    <w:rsid w:val="00D31E8D"/>
    <w:rsid w:val="00D321A3"/>
    <w:rsid w:val="00D32596"/>
    <w:rsid w:val="00D32A0A"/>
    <w:rsid w:val="00D32B39"/>
    <w:rsid w:val="00D32B9B"/>
    <w:rsid w:val="00D32BBA"/>
    <w:rsid w:val="00D331EC"/>
    <w:rsid w:val="00D333B1"/>
    <w:rsid w:val="00D3356D"/>
    <w:rsid w:val="00D33627"/>
    <w:rsid w:val="00D33816"/>
    <w:rsid w:val="00D338CC"/>
    <w:rsid w:val="00D33C67"/>
    <w:rsid w:val="00D340D9"/>
    <w:rsid w:val="00D34406"/>
    <w:rsid w:val="00D346CC"/>
    <w:rsid w:val="00D34771"/>
    <w:rsid w:val="00D34992"/>
    <w:rsid w:val="00D34C90"/>
    <w:rsid w:val="00D34D6A"/>
    <w:rsid w:val="00D34DC8"/>
    <w:rsid w:val="00D35564"/>
    <w:rsid w:val="00D3566C"/>
    <w:rsid w:val="00D35D72"/>
    <w:rsid w:val="00D35DFA"/>
    <w:rsid w:val="00D35DFF"/>
    <w:rsid w:val="00D35EF8"/>
    <w:rsid w:val="00D3614F"/>
    <w:rsid w:val="00D361DB"/>
    <w:rsid w:val="00D36248"/>
    <w:rsid w:val="00D36468"/>
    <w:rsid w:val="00D368BE"/>
    <w:rsid w:val="00D36965"/>
    <w:rsid w:val="00D369BB"/>
    <w:rsid w:val="00D36F58"/>
    <w:rsid w:val="00D37940"/>
    <w:rsid w:val="00D37AC2"/>
    <w:rsid w:val="00D402B2"/>
    <w:rsid w:val="00D40681"/>
    <w:rsid w:val="00D407A5"/>
    <w:rsid w:val="00D4092D"/>
    <w:rsid w:val="00D40994"/>
    <w:rsid w:val="00D40D58"/>
    <w:rsid w:val="00D40FA2"/>
    <w:rsid w:val="00D41024"/>
    <w:rsid w:val="00D413EA"/>
    <w:rsid w:val="00D41455"/>
    <w:rsid w:val="00D41472"/>
    <w:rsid w:val="00D416CA"/>
    <w:rsid w:val="00D41A17"/>
    <w:rsid w:val="00D41B6E"/>
    <w:rsid w:val="00D41D9D"/>
    <w:rsid w:val="00D41FAB"/>
    <w:rsid w:val="00D42286"/>
    <w:rsid w:val="00D4244B"/>
    <w:rsid w:val="00D424A1"/>
    <w:rsid w:val="00D4264E"/>
    <w:rsid w:val="00D42687"/>
    <w:rsid w:val="00D42748"/>
    <w:rsid w:val="00D42CA0"/>
    <w:rsid w:val="00D42D73"/>
    <w:rsid w:val="00D42F89"/>
    <w:rsid w:val="00D4383A"/>
    <w:rsid w:val="00D438C9"/>
    <w:rsid w:val="00D4397C"/>
    <w:rsid w:val="00D43BA1"/>
    <w:rsid w:val="00D43BBE"/>
    <w:rsid w:val="00D43D5E"/>
    <w:rsid w:val="00D442DF"/>
    <w:rsid w:val="00D44385"/>
    <w:rsid w:val="00D444C5"/>
    <w:rsid w:val="00D444D0"/>
    <w:rsid w:val="00D44603"/>
    <w:rsid w:val="00D4467D"/>
    <w:rsid w:val="00D44748"/>
    <w:rsid w:val="00D44A6C"/>
    <w:rsid w:val="00D453CA"/>
    <w:rsid w:val="00D45421"/>
    <w:rsid w:val="00D4554B"/>
    <w:rsid w:val="00D4579D"/>
    <w:rsid w:val="00D4634F"/>
    <w:rsid w:val="00D46393"/>
    <w:rsid w:val="00D464BB"/>
    <w:rsid w:val="00D466E6"/>
    <w:rsid w:val="00D46783"/>
    <w:rsid w:val="00D46C91"/>
    <w:rsid w:val="00D46CC7"/>
    <w:rsid w:val="00D46CFA"/>
    <w:rsid w:val="00D46D5B"/>
    <w:rsid w:val="00D46E43"/>
    <w:rsid w:val="00D46FAB"/>
    <w:rsid w:val="00D46FF8"/>
    <w:rsid w:val="00D47446"/>
    <w:rsid w:val="00D47843"/>
    <w:rsid w:val="00D47DD1"/>
    <w:rsid w:val="00D5071E"/>
    <w:rsid w:val="00D508EE"/>
    <w:rsid w:val="00D509A6"/>
    <w:rsid w:val="00D50A94"/>
    <w:rsid w:val="00D50B02"/>
    <w:rsid w:val="00D50FF4"/>
    <w:rsid w:val="00D510E6"/>
    <w:rsid w:val="00D51239"/>
    <w:rsid w:val="00D519D3"/>
    <w:rsid w:val="00D51A07"/>
    <w:rsid w:val="00D51BE7"/>
    <w:rsid w:val="00D52608"/>
    <w:rsid w:val="00D526FB"/>
    <w:rsid w:val="00D52931"/>
    <w:rsid w:val="00D52C66"/>
    <w:rsid w:val="00D52E77"/>
    <w:rsid w:val="00D53010"/>
    <w:rsid w:val="00D530F0"/>
    <w:rsid w:val="00D53248"/>
    <w:rsid w:val="00D53D42"/>
    <w:rsid w:val="00D53D46"/>
    <w:rsid w:val="00D541B8"/>
    <w:rsid w:val="00D541F8"/>
    <w:rsid w:val="00D54619"/>
    <w:rsid w:val="00D54703"/>
    <w:rsid w:val="00D548C7"/>
    <w:rsid w:val="00D54952"/>
    <w:rsid w:val="00D54CEA"/>
    <w:rsid w:val="00D54F3E"/>
    <w:rsid w:val="00D5526B"/>
    <w:rsid w:val="00D55378"/>
    <w:rsid w:val="00D5554F"/>
    <w:rsid w:val="00D5583D"/>
    <w:rsid w:val="00D55915"/>
    <w:rsid w:val="00D55A87"/>
    <w:rsid w:val="00D55B09"/>
    <w:rsid w:val="00D55D85"/>
    <w:rsid w:val="00D5614C"/>
    <w:rsid w:val="00D56697"/>
    <w:rsid w:val="00D566E5"/>
    <w:rsid w:val="00D567D3"/>
    <w:rsid w:val="00D56937"/>
    <w:rsid w:val="00D5698F"/>
    <w:rsid w:val="00D56C4C"/>
    <w:rsid w:val="00D56E30"/>
    <w:rsid w:val="00D5707A"/>
    <w:rsid w:val="00D575F6"/>
    <w:rsid w:val="00D57A16"/>
    <w:rsid w:val="00D57DD4"/>
    <w:rsid w:val="00D60555"/>
    <w:rsid w:val="00D6064B"/>
    <w:rsid w:val="00D606B0"/>
    <w:rsid w:val="00D60872"/>
    <w:rsid w:val="00D60A6E"/>
    <w:rsid w:val="00D60B46"/>
    <w:rsid w:val="00D60C04"/>
    <w:rsid w:val="00D60D06"/>
    <w:rsid w:val="00D61189"/>
    <w:rsid w:val="00D61288"/>
    <w:rsid w:val="00D614E3"/>
    <w:rsid w:val="00D61504"/>
    <w:rsid w:val="00D61A46"/>
    <w:rsid w:val="00D61AA0"/>
    <w:rsid w:val="00D61E9B"/>
    <w:rsid w:val="00D61EE0"/>
    <w:rsid w:val="00D620B6"/>
    <w:rsid w:val="00D621E2"/>
    <w:rsid w:val="00D622D1"/>
    <w:rsid w:val="00D62794"/>
    <w:rsid w:val="00D62925"/>
    <w:rsid w:val="00D62BA6"/>
    <w:rsid w:val="00D63010"/>
    <w:rsid w:val="00D63368"/>
    <w:rsid w:val="00D636EB"/>
    <w:rsid w:val="00D637F6"/>
    <w:rsid w:val="00D63909"/>
    <w:rsid w:val="00D63A26"/>
    <w:rsid w:val="00D63BC0"/>
    <w:rsid w:val="00D63DF0"/>
    <w:rsid w:val="00D63E20"/>
    <w:rsid w:val="00D63F06"/>
    <w:rsid w:val="00D64257"/>
    <w:rsid w:val="00D64468"/>
    <w:rsid w:val="00D64597"/>
    <w:rsid w:val="00D64C5F"/>
    <w:rsid w:val="00D64E42"/>
    <w:rsid w:val="00D64E6D"/>
    <w:rsid w:val="00D64ED3"/>
    <w:rsid w:val="00D652FE"/>
    <w:rsid w:val="00D655F7"/>
    <w:rsid w:val="00D6572D"/>
    <w:rsid w:val="00D6593A"/>
    <w:rsid w:val="00D659A6"/>
    <w:rsid w:val="00D65B7B"/>
    <w:rsid w:val="00D65C1F"/>
    <w:rsid w:val="00D65CA8"/>
    <w:rsid w:val="00D65EBE"/>
    <w:rsid w:val="00D66365"/>
    <w:rsid w:val="00D6643B"/>
    <w:rsid w:val="00D6661D"/>
    <w:rsid w:val="00D6686D"/>
    <w:rsid w:val="00D66BDF"/>
    <w:rsid w:val="00D66D66"/>
    <w:rsid w:val="00D67132"/>
    <w:rsid w:val="00D67517"/>
    <w:rsid w:val="00D677D0"/>
    <w:rsid w:val="00D678C0"/>
    <w:rsid w:val="00D67D4D"/>
    <w:rsid w:val="00D67DAB"/>
    <w:rsid w:val="00D67EBF"/>
    <w:rsid w:val="00D67F0C"/>
    <w:rsid w:val="00D67FB7"/>
    <w:rsid w:val="00D7054B"/>
    <w:rsid w:val="00D70854"/>
    <w:rsid w:val="00D708B8"/>
    <w:rsid w:val="00D70CC3"/>
    <w:rsid w:val="00D70EB8"/>
    <w:rsid w:val="00D71094"/>
    <w:rsid w:val="00D714A8"/>
    <w:rsid w:val="00D7152C"/>
    <w:rsid w:val="00D715D3"/>
    <w:rsid w:val="00D71672"/>
    <w:rsid w:val="00D7184E"/>
    <w:rsid w:val="00D71994"/>
    <w:rsid w:val="00D7199E"/>
    <w:rsid w:val="00D71B68"/>
    <w:rsid w:val="00D71C6B"/>
    <w:rsid w:val="00D720EC"/>
    <w:rsid w:val="00D72474"/>
    <w:rsid w:val="00D725CC"/>
    <w:rsid w:val="00D72761"/>
    <w:rsid w:val="00D72E8A"/>
    <w:rsid w:val="00D72F9D"/>
    <w:rsid w:val="00D73297"/>
    <w:rsid w:val="00D73421"/>
    <w:rsid w:val="00D7353D"/>
    <w:rsid w:val="00D735E7"/>
    <w:rsid w:val="00D73BCB"/>
    <w:rsid w:val="00D73C45"/>
    <w:rsid w:val="00D73F14"/>
    <w:rsid w:val="00D7400B"/>
    <w:rsid w:val="00D743E8"/>
    <w:rsid w:val="00D757AA"/>
    <w:rsid w:val="00D75AC9"/>
    <w:rsid w:val="00D75E0B"/>
    <w:rsid w:val="00D75E80"/>
    <w:rsid w:val="00D7611E"/>
    <w:rsid w:val="00D761A0"/>
    <w:rsid w:val="00D76478"/>
    <w:rsid w:val="00D76962"/>
    <w:rsid w:val="00D76A80"/>
    <w:rsid w:val="00D76D57"/>
    <w:rsid w:val="00D76FF1"/>
    <w:rsid w:val="00D771CA"/>
    <w:rsid w:val="00D77249"/>
    <w:rsid w:val="00D77313"/>
    <w:rsid w:val="00D773E4"/>
    <w:rsid w:val="00D77662"/>
    <w:rsid w:val="00D80305"/>
    <w:rsid w:val="00D80552"/>
    <w:rsid w:val="00D80598"/>
    <w:rsid w:val="00D80765"/>
    <w:rsid w:val="00D80959"/>
    <w:rsid w:val="00D80A9F"/>
    <w:rsid w:val="00D8127B"/>
    <w:rsid w:val="00D8131E"/>
    <w:rsid w:val="00D813A6"/>
    <w:rsid w:val="00D813D1"/>
    <w:rsid w:val="00D81469"/>
    <w:rsid w:val="00D8152A"/>
    <w:rsid w:val="00D81D50"/>
    <w:rsid w:val="00D81E4A"/>
    <w:rsid w:val="00D8229A"/>
    <w:rsid w:val="00D82491"/>
    <w:rsid w:val="00D82559"/>
    <w:rsid w:val="00D825FF"/>
    <w:rsid w:val="00D82627"/>
    <w:rsid w:val="00D827D1"/>
    <w:rsid w:val="00D82CF3"/>
    <w:rsid w:val="00D82DBF"/>
    <w:rsid w:val="00D82F53"/>
    <w:rsid w:val="00D82FD7"/>
    <w:rsid w:val="00D836F4"/>
    <w:rsid w:val="00D8381D"/>
    <w:rsid w:val="00D83BCB"/>
    <w:rsid w:val="00D83F13"/>
    <w:rsid w:val="00D84374"/>
    <w:rsid w:val="00D844B2"/>
    <w:rsid w:val="00D8450C"/>
    <w:rsid w:val="00D84595"/>
    <w:rsid w:val="00D84A1E"/>
    <w:rsid w:val="00D84AB9"/>
    <w:rsid w:val="00D84B42"/>
    <w:rsid w:val="00D84C45"/>
    <w:rsid w:val="00D84FE8"/>
    <w:rsid w:val="00D851A0"/>
    <w:rsid w:val="00D852E9"/>
    <w:rsid w:val="00D854DC"/>
    <w:rsid w:val="00D855AA"/>
    <w:rsid w:val="00D8562C"/>
    <w:rsid w:val="00D85839"/>
    <w:rsid w:val="00D85CCB"/>
    <w:rsid w:val="00D861E5"/>
    <w:rsid w:val="00D86261"/>
    <w:rsid w:val="00D8635C"/>
    <w:rsid w:val="00D8694D"/>
    <w:rsid w:val="00D86A04"/>
    <w:rsid w:val="00D86D09"/>
    <w:rsid w:val="00D86E75"/>
    <w:rsid w:val="00D87290"/>
    <w:rsid w:val="00D873E6"/>
    <w:rsid w:val="00D87485"/>
    <w:rsid w:val="00D87594"/>
    <w:rsid w:val="00D875D0"/>
    <w:rsid w:val="00D8765C"/>
    <w:rsid w:val="00D879E7"/>
    <w:rsid w:val="00D87BBB"/>
    <w:rsid w:val="00D87BEE"/>
    <w:rsid w:val="00D87CB9"/>
    <w:rsid w:val="00D87FBF"/>
    <w:rsid w:val="00D901A9"/>
    <w:rsid w:val="00D90689"/>
    <w:rsid w:val="00D908C7"/>
    <w:rsid w:val="00D90BB8"/>
    <w:rsid w:val="00D90C6B"/>
    <w:rsid w:val="00D90D22"/>
    <w:rsid w:val="00D90F0A"/>
    <w:rsid w:val="00D91025"/>
    <w:rsid w:val="00D91091"/>
    <w:rsid w:val="00D9114D"/>
    <w:rsid w:val="00D91162"/>
    <w:rsid w:val="00D916DE"/>
    <w:rsid w:val="00D917E1"/>
    <w:rsid w:val="00D91807"/>
    <w:rsid w:val="00D91B42"/>
    <w:rsid w:val="00D91B8E"/>
    <w:rsid w:val="00D91E25"/>
    <w:rsid w:val="00D9221B"/>
    <w:rsid w:val="00D922FC"/>
    <w:rsid w:val="00D9251A"/>
    <w:rsid w:val="00D92564"/>
    <w:rsid w:val="00D92C43"/>
    <w:rsid w:val="00D92DDA"/>
    <w:rsid w:val="00D93050"/>
    <w:rsid w:val="00D93220"/>
    <w:rsid w:val="00D93860"/>
    <w:rsid w:val="00D93878"/>
    <w:rsid w:val="00D93B41"/>
    <w:rsid w:val="00D94107"/>
    <w:rsid w:val="00D943B7"/>
    <w:rsid w:val="00D945DA"/>
    <w:rsid w:val="00D946EC"/>
    <w:rsid w:val="00D94A26"/>
    <w:rsid w:val="00D957AE"/>
    <w:rsid w:val="00D957CC"/>
    <w:rsid w:val="00D95FAC"/>
    <w:rsid w:val="00D96828"/>
    <w:rsid w:val="00D96D6D"/>
    <w:rsid w:val="00D96FA0"/>
    <w:rsid w:val="00D96FE4"/>
    <w:rsid w:val="00D96FEA"/>
    <w:rsid w:val="00D97241"/>
    <w:rsid w:val="00D97534"/>
    <w:rsid w:val="00D977BD"/>
    <w:rsid w:val="00D9783B"/>
    <w:rsid w:val="00D97CFA"/>
    <w:rsid w:val="00DA054D"/>
    <w:rsid w:val="00DA14AA"/>
    <w:rsid w:val="00DA16CE"/>
    <w:rsid w:val="00DA1A44"/>
    <w:rsid w:val="00DA1D0B"/>
    <w:rsid w:val="00DA2A39"/>
    <w:rsid w:val="00DA2B12"/>
    <w:rsid w:val="00DA2EB6"/>
    <w:rsid w:val="00DA31BA"/>
    <w:rsid w:val="00DA3247"/>
    <w:rsid w:val="00DA33C9"/>
    <w:rsid w:val="00DA355D"/>
    <w:rsid w:val="00DA3629"/>
    <w:rsid w:val="00DA37E7"/>
    <w:rsid w:val="00DA3918"/>
    <w:rsid w:val="00DA3EFD"/>
    <w:rsid w:val="00DA3F23"/>
    <w:rsid w:val="00DA4603"/>
    <w:rsid w:val="00DA466B"/>
    <w:rsid w:val="00DA4885"/>
    <w:rsid w:val="00DA49D1"/>
    <w:rsid w:val="00DA4E06"/>
    <w:rsid w:val="00DA5156"/>
    <w:rsid w:val="00DA5383"/>
    <w:rsid w:val="00DA58D1"/>
    <w:rsid w:val="00DA5A47"/>
    <w:rsid w:val="00DA5CED"/>
    <w:rsid w:val="00DA5E64"/>
    <w:rsid w:val="00DA60DD"/>
    <w:rsid w:val="00DA6433"/>
    <w:rsid w:val="00DA6526"/>
    <w:rsid w:val="00DA658C"/>
    <w:rsid w:val="00DA67D3"/>
    <w:rsid w:val="00DA6900"/>
    <w:rsid w:val="00DA6E15"/>
    <w:rsid w:val="00DA7125"/>
    <w:rsid w:val="00DA758A"/>
    <w:rsid w:val="00DA7876"/>
    <w:rsid w:val="00DA7B99"/>
    <w:rsid w:val="00DA7BB6"/>
    <w:rsid w:val="00DA7CB4"/>
    <w:rsid w:val="00DA7D85"/>
    <w:rsid w:val="00DB032F"/>
    <w:rsid w:val="00DB0429"/>
    <w:rsid w:val="00DB045E"/>
    <w:rsid w:val="00DB04A4"/>
    <w:rsid w:val="00DB069E"/>
    <w:rsid w:val="00DB07AB"/>
    <w:rsid w:val="00DB086A"/>
    <w:rsid w:val="00DB0D27"/>
    <w:rsid w:val="00DB0D7E"/>
    <w:rsid w:val="00DB0FFC"/>
    <w:rsid w:val="00DB1508"/>
    <w:rsid w:val="00DB1542"/>
    <w:rsid w:val="00DB1AB7"/>
    <w:rsid w:val="00DB1AC9"/>
    <w:rsid w:val="00DB1CB4"/>
    <w:rsid w:val="00DB1D30"/>
    <w:rsid w:val="00DB1D80"/>
    <w:rsid w:val="00DB249A"/>
    <w:rsid w:val="00DB24B3"/>
    <w:rsid w:val="00DB2B41"/>
    <w:rsid w:val="00DB2E43"/>
    <w:rsid w:val="00DB3285"/>
    <w:rsid w:val="00DB336E"/>
    <w:rsid w:val="00DB3610"/>
    <w:rsid w:val="00DB36DA"/>
    <w:rsid w:val="00DB3966"/>
    <w:rsid w:val="00DB3C50"/>
    <w:rsid w:val="00DB3D4A"/>
    <w:rsid w:val="00DB4343"/>
    <w:rsid w:val="00DB46DD"/>
    <w:rsid w:val="00DB4775"/>
    <w:rsid w:val="00DB4A3B"/>
    <w:rsid w:val="00DB530E"/>
    <w:rsid w:val="00DB5374"/>
    <w:rsid w:val="00DB5CDD"/>
    <w:rsid w:val="00DB5F82"/>
    <w:rsid w:val="00DB5FA2"/>
    <w:rsid w:val="00DB61F9"/>
    <w:rsid w:val="00DB6554"/>
    <w:rsid w:val="00DB66D0"/>
    <w:rsid w:val="00DB694E"/>
    <w:rsid w:val="00DB69DC"/>
    <w:rsid w:val="00DB6E31"/>
    <w:rsid w:val="00DB707C"/>
    <w:rsid w:val="00DB74A9"/>
    <w:rsid w:val="00DB74FD"/>
    <w:rsid w:val="00DB7665"/>
    <w:rsid w:val="00DB772F"/>
    <w:rsid w:val="00DB7C2A"/>
    <w:rsid w:val="00DC065A"/>
    <w:rsid w:val="00DC0AE8"/>
    <w:rsid w:val="00DC0B98"/>
    <w:rsid w:val="00DC0BAC"/>
    <w:rsid w:val="00DC0DB9"/>
    <w:rsid w:val="00DC105E"/>
    <w:rsid w:val="00DC12D7"/>
    <w:rsid w:val="00DC13FE"/>
    <w:rsid w:val="00DC1541"/>
    <w:rsid w:val="00DC1686"/>
    <w:rsid w:val="00DC16A2"/>
    <w:rsid w:val="00DC17DD"/>
    <w:rsid w:val="00DC1C56"/>
    <w:rsid w:val="00DC23C4"/>
    <w:rsid w:val="00DC24EB"/>
    <w:rsid w:val="00DC267B"/>
    <w:rsid w:val="00DC2D26"/>
    <w:rsid w:val="00DC3940"/>
    <w:rsid w:val="00DC416D"/>
    <w:rsid w:val="00DC4384"/>
    <w:rsid w:val="00DC4AB2"/>
    <w:rsid w:val="00DC4D7C"/>
    <w:rsid w:val="00DC522B"/>
    <w:rsid w:val="00DC54BB"/>
    <w:rsid w:val="00DC55FD"/>
    <w:rsid w:val="00DC5C42"/>
    <w:rsid w:val="00DC60F0"/>
    <w:rsid w:val="00DC6115"/>
    <w:rsid w:val="00DC616B"/>
    <w:rsid w:val="00DC6405"/>
    <w:rsid w:val="00DC6997"/>
    <w:rsid w:val="00DC737C"/>
    <w:rsid w:val="00DC7670"/>
    <w:rsid w:val="00DC78AA"/>
    <w:rsid w:val="00DC7C00"/>
    <w:rsid w:val="00DC7C24"/>
    <w:rsid w:val="00DC7CB3"/>
    <w:rsid w:val="00DD038F"/>
    <w:rsid w:val="00DD0396"/>
    <w:rsid w:val="00DD0669"/>
    <w:rsid w:val="00DD0895"/>
    <w:rsid w:val="00DD099D"/>
    <w:rsid w:val="00DD0ADA"/>
    <w:rsid w:val="00DD0CF4"/>
    <w:rsid w:val="00DD0F4F"/>
    <w:rsid w:val="00DD12B7"/>
    <w:rsid w:val="00DD146A"/>
    <w:rsid w:val="00DD1AB6"/>
    <w:rsid w:val="00DD1B4D"/>
    <w:rsid w:val="00DD1DA3"/>
    <w:rsid w:val="00DD1FF8"/>
    <w:rsid w:val="00DD27C3"/>
    <w:rsid w:val="00DD2908"/>
    <w:rsid w:val="00DD2EE8"/>
    <w:rsid w:val="00DD31F5"/>
    <w:rsid w:val="00DD3249"/>
    <w:rsid w:val="00DD37E6"/>
    <w:rsid w:val="00DD37FC"/>
    <w:rsid w:val="00DD3A93"/>
    <w:rsid w:val="00DD3F6A"/>
    <w:rsid w:val="00DD3FB6"/>
    <w:rsid w:val="00DD4197"/>
    <w:rsid w:val="00DD41D8"/>
    <w:rsid w:val="00DD4238"/>
    <w:rsid w:val="00DD456C"/>
    <w:rsid w:val="00DD474E"/>
    <w:rsid w:val="00DD4943"/>
    <w:rsid w:val="00DD4B14"/>
    <w:rsid w:val="00DD521E"/>
    <w:rsid w:val="00DD5467"/>
    <w:rsid w:val="00DD5D97"/>
    <w:rsid w:val="00DD614B"/>
    <w:rsid w:val="00DD63C4"/>
    <w:rsid w:val="00DD68E0"/>
    <w:rsid w:val="00DD68E4"/>
    <w:rsid w:val="00DD6989"/>
    <w:rsid w:val="00DD7209"/>
    <w:rsid w:val="00DD743A"/>
    <w:rsid w:val="00DD7692"/>
    <w:rsid w:val="00DD7704"/>
    <w:rsid w:val="00DD77C7"/>
    <w:rsid w:val="00DD7B36"/>
    <w:rsid w:val="00DD7D17"/>
    <w:rsid w:val="00DE013C"/>
    <w:rsid w:val="00DE03A5"/>
    <w:rsid w:val="00DE07CA"/>
    <w:rsid w:val="00DE0C4E"/>
    <w:rsid w:val="00DE14A2"/>
    <w:rsid w:val="00DE14CB"/>
    <w:rsid w:val="00DE1520"/>
    <w:rsid w:val="00DE193A"/>
    <w:rsid w:val="00DE1A7D"/>
    <w:rsid w:val="00DE1B31"/>
    <w:rsid w:val="00DE1B70"/>
    <w:rsid w:val="00DE1D8F"/>
    <w:rsid w:val="00DE20EE"/>
    <w:rsid w:val="00DE2259"/>
    <w:rsid w:val="00DE2A91"/>
    <w:rsid w:val="00DE2D22"/>
    <w:rsid w:val="00DE2DB5"/>
    <w:rsid w:val="00DE2FC3"/>
    <w:rsid w:val="00DE30EB"/>
    <w:rsid w:val="00DE3121"/>
    <w:rsid w:val="00DE31AF"/>
    <w:rsid w:val="00DE3565"/>
    <w:rsid w:val="00DE3733"/>
    <w:rsid w:val="00DE3740"/>
    <w:rsid w:val="00DE3A5D"/>
    <w:rsid w:val="00DE3BF3"/>
    <w:rsid w:val="00DE3F2A"/>
    <w:rsid w:val="00DE3F63"/>
    <w:rsid w:val="00DE40E7"/>
    <w:rsid w:val="00DE4263"/>
    <w:rsid w:val="00DE42A8"/>
    <w:rsid w:val="00DE46B1"/>
    <w:rsid w:val="00DE46F6"/>
    <w:rsid w:val="00DE4A24"/>
    <w:rsid w:val="00DE4AA2"/>
    <w:rsid w:val="00DE4AF3"/>
    <w:rsid w:val="00DE4CF9"/>
    <w:rsid w:val="00DE4F65"/>
    <w:rsid w:val="00DE525D"/>
    <w:rsid w:val="00DE5260"/>
    <w:rsid w:val="00DE52B4"/>
    <w:rsid w:val="00DE5355"/>
    <w:rsid w:val="00DE5403"/>
    <w:rsid w:val="00DE5823"/>
    <w:rsid w:val="00DE5B99"/>
    <w:rsid w:val="00DE5C33"/>
    <w:rsid w:val="00DE6564"/>
    <w:rsid w:val="00DE6788"/>
    <w:rsid w:val="00DE6AA8"/>
    <w:rsid w:val="00DE6BDD"/>
    <w:rsid w:val="00DE6D61"/>
    <w:rsid w:val="00DE6E7F"/>
    <w:rsid w:val="00DE7317"/>
    <w:rsid w:val="00DE74FD"/>
    <w:rsid w:val="00DE75B9"/>
    <w:rsid w:val="00DE75FD"/>
    <w:rsid w:val="00DE7D93"/>
    <w:rsid w:val="00DF0027"/>
    <w:rsid w:val="00DF07D4"/>
    <w:rsid w:val="00DF082C"/>
    <w:rsid w:val="00DF0BC1"/>
    <w:rsid w:val="00DF0D7F"/>
    <w:rsid w:val="00DF103F"/>
    <w:rsid w:val="00DF1074"/>
    <w:rsid w:val="00DF117B"/>
    <w:rsid w:val="00DF13C1"/>
    <w:rsid w:val="00DF1788"/>
    <w:rsid w:val="00DF17C0"/>
    <w:rsid w:val="00DF1E7F"/>
    <w:rsid w:val="00DF2236"/>
    <w:rsid w:val="00DF25C6"/>
    <w:rsid w:val="00DF2723"/>
    <w:rsid w:val="00DF2A46"/>
    <w:rsid w:val="00DF2C0C"/>
    <w:rsid w:val="00DF2CD4"/>
    <w:rsid w:val="00DF31DD"/>
    <w:rsid w:val="00DF3375"/>
    <w:rsid w:val="00DF3820"/>
    <w:rsid w:val="00DF3851"/>
    <w:rsid w:val="00DF3BAD"/>
    <w:rsid w:val="00DF3BE8"/>
    <w:rsid w:val="00DF3DCE"/>
    <w:rsid w:val="00DF41CB"/>
    <w:rsid w:val="00DF4488"/>
    <w:rsid w:val="00DF4577"/>
    <w:rsid w:val="00DF4BAD"/>
    <w:rsid w:val="00DF4D3D"/>
    <w:rsid w:val="00DF4E6D"/>
    <w:rsid w:val="00DF4F4C"/>
    <w:rsid w:val="00DF51B1"/>
    <w:rsid w:val="00DF523F"/>
    <w:rsid w:val="00DF5299"/>
    <w:rsid w:val="00DF54BC"/>
    <w:rsid w:val="00DF54C1"/>
    <w:rsid w:val="00DF55A8"/>
    <w:rsid w:val="00DF5EF1"/>
    <w:rsid w:val="00DF60C9"/>
    <w:rsid w:val="00DF632D"/>
    <w:rsid w:val="00DF6865"/>
    <w:rsid w:val="00DF6D22"/>
    <w:rsid w:val="00DF6E38"/>
    <w:rsid w:val="00DF6E53"/>
    <w:rsid w:val="00DF6F57"/>
    <w:rsid w:val="00DF7000"/>
    <w:rsid w:val="00DF70DB"/>
    <w:rsid w:val="00DF7363"/>
    <w:rsid w:val="00DF7470"/>
    <w:rsid w:val="00DF7A83"/>
    <w:rsid w:val="00DF7C4A"/>
    <w:rsid w:val="00DF7D50"/>
    <w:rsid w:val="00E00043"/>
    <w:rsid w:val="00E000DB"/>
    <w:rsid w:val="00E004EF"/>
    <w:rsid w:val="00E006F4"/>
    <w:rsid w:val="00E0093E"/>
    <w:rsid w:val="00E00D86"/>
    <w:rsid w:val="00E00E25"/>
    <w:rsid w:val="00E00F9A"/>
    <w:rsid w:val="00E01029"/>
    <w:rsid w:val="00E010D0"/>
    <w:rsid w:val="00E01363"/>
    <w:rsid w:val="00E0138F"/>
    <w:rsid w:val="00E015D4"/>
    <w:rsid w:val="00E01624"/>
    <w:rsid w:val="00E01806"/>
    <w:rsid w:val="00E01D95"/>
    <w:rsid w:val="00E02200"/>
    <w:rsid w:val="00E02607"/>
    <w:rsid w:val="00E02660"/>
    <w:rsid w:val="00E02803"/>
    <w:rsid w:val="00E02B1F"/>
    <w:rsid w:val="00E02BE6"/>
    <w:rsid w:val="00E02CEE"/>
    <w:rsid w:val="00E02E0E"/>
    <w:rsid w:val="00E02F16"/>
    <w:rsid w:val="00E03272"/>
    <w:rsid w:val="00E03304"/>
    <w:rsid w:val="00E03B3E"/>
    <w:rsid w:val="00E03D7F"/>
    <w:rsid w:val="00E03FF5"/>
    <w:rsid w:val="00E041DA"/>
    <w:rsid w:val="00E04491"/>
    <w:rsid w:val="00E048B0"/>
    <w:rsid w:val="00E0498A"/>
    <w:rsid w:val="00E04A0C"/>
    <w:rsid w:val="00E05107"/>
    <w:rsid w:val="00E052C4"/>
    <w:rsid w:val="00E052E7"/>
    <w:rsid w:val="00E05DC3"/>
    <w:rsid w:val="00E05FC4"/>
    <w:rsid w:val="00E0604D"/>
    <w:rsid w:val="00E0615E"/>
    <w:rsid w:val="00E0622E"/>
    <w:rsid w:val="00E0630F"/>
    <w:rsid w:val="00E063A6"/>
    <w:rsid w:val="00E06487"/>
    <w:rsid w:val="00E0695B"/>
    <w:rsid w:val="00E069CB"/>
    <w:rsid w:val="00E071AC"/>
    <w:rsid w:val="00E0729B"/>
    <w:rsid w:val="00E0754F"/>
    <w:rsid w:val="00E07576"/>
    <w:rsid w:val="00E078A9"/>
    <w:rsid w:val="00E07BBA"/>
    <w:rsid w:val="00E07C8C"/>
    <w:rsid w:val="00E07F4C"/>
    <w:rsid w:val="00E10347"/>
    <w:rsid w:val="00E1063B"/>
    <w:rsid w:val="00E10C49"/>
    <w:rsid w:val="00E10CFB"/>
    <w:rsid w:val="00E10D63"/>
    <w:rsid w:val="00E10E55"/>
    <w:rsid w:val="00E10E69"/>
    <w:rsid w:val="00E1101D"/>
    <w:rsid w:val="00E11092"/>
    <w:rsid w:val="00E110B1"/>
    <w:rsid w:val="00E11159"/>
    <w:rsid w:val="00E1125E"/>
    <w:rsid w:val="00E112DE"/>
    <w:rsid w:val="00E1164B"/>
    <w:rsid w:val="00E11754"/>
    <w:rsid w:val="00E1194D"/>
    <w:rsid w:val="00E11A09"/>
    <w:rsid w:val="00E11B05"/>
    <w:rsid w:val="00E11C85"/>
    <w:rsid w:val="00E11D10"/>
    <w:rsid w:val="00E11F82"/>
    <w:rsid w:val="00E12023"/>
    <w:rsid w:val="00E1209E"/>
    <w:rsid w:val="00E1241E"/>
    <w:rsid w:val="00E12966"/>
    <w:rsid w:val="00E12E3F"/>
    <w:rsid w:val="00E13184"/>
    <w:rsid w:val="00E1371F"/>
    <w:rsid w:val="00E13CD7"/>
    <w:rsid w:val="00E14124"/>
    <w:rsid w:val="00E14179"/>
    <w:rsid w:val="00E14211"/>
    <w:rsid w:val="00E14422"/>
    <w:rsid w:val="00E14841"/>
    <w:rsid w:val="00E14EAC"/>
    <w:rsid w:val="00E153C4"/>
    <w:rsid w:val="00E15515"/>
    <w:rsid w:val="00E15986"/>
    <w:rsid w:val="00E15F39"/>
    <w:rsid w:val="00E160A4"/>
    <w:rsid w:val="00E162D0"/>
    <w:rsid w:val="00E165B6"/>
    <w:rsid w:val="00E16819"/>
    <w:rsid w:val="00E16F5C"/>
    <w:rsid w:val="00E1759B"/>
    <w:rsid w:val="00E17670"/>
    <w:rsid w:val="00E1768B"/>
    <w:rsid w:val="00E17DE9"/>
    <w:rsid w:val="00E2022C"/>
    <w:rsid w:val="00E20343"/>
    <w:rsid w:val="00E204E9"/>
    <w:rsid w:val="00E2069A"/>
    <w:rsid w:val="00E20908"/>
    <w:rsid w:val="00E20C1D"/>
    <w:rsid w:val="00E21208"/>
    <w:rsid w:val="00E21284"/>
    <w:rsid w:val="00E213A3"/>
    <w:rsid w:val="00E2152E"/>
    <w:rsid w:val="00E21555"/>
    <w:rsid w:val="00E215CF"/>
    <w:rsid w:val="00E2197E"/>
    <w:rsid w:val="00E21D6A"/>
    <w:rsid w:val="00E227C5"/>
    <w:rsid w:val="00E228DE"/>
    <w:rsid w:val="00E22AD8"/>
    <w:rsid w:val="00E22BD8"/>
    <w:rsid w:val="00E22C14"/>
    <w:rsid w:val="00E22D07"/>
    <w:rsid w:val="00E230D3"/>
    <w:rsid w:val="00E23432"/>
    <w:rsid w:val="00E234AD"/>
    <w:rsid w:val="00E23BA5"/>
    <w:rsid w:val="00E23E41"/>
    <w:rsid w:val="00E2415F"/>
    <w:rsid w:val="00E24705"/>
    <w:rsid w:val="00E247FB"/>
    <w:rsid w:val="00E2494D"/>
    <w:rsid w:val="00E24A98"/>
    <w:rsid w:val="00E24D0C"/>
    <w:rsid w:val="00E24F9E"/>
    <w:rsid w:val="00E25113"/>
    <w:rsid w:val="00E251C9"/>
    <w:rsid w:val="00E252BD"/>
    <w:rsid w:val="00E25774"/>
    <w:rsid w:val="00E2579F"/>
    <w:rsid w:val="00E25A40"/>
    <w:rsid w:val="00E25BBB"/>
    <w:rsid w:val="00E25F45"/>
    <w:rsid w:val="00E26211"/>
    <w:rsid w:val="00E26316"/>
    <w:rsid w:val="00E265F5"/>
    <w:rsid w:val="00E266AC"/>
    <w:rsid w:val="00E26975"/>
    <w:rsid w:val="00E26AAC"/>
    <w:rsid w:val="00E26D93"/>
    <w:rsid w:val="00E27145"/>
    <w:rsid w:val="00E275E9"/>
    <w:rsid w:val="00E27658"/>
    <w:rsid w:val="00E276CD"/>
    <w:rsid w:val="00E27976"/>
    <w:rsid w:val="00E3031E"/>
    <w:rsid w:val="00E305A3"/>
    <w:rsid w:val="00E306BF"/>
    <w:rsid w:val="00E30F97"/>
    <w:rsid w:val="00E31292"/>
    <w:rsid w:val="00E31395"/>
    <w:rsid w:val="00E314FF"/>
    <w:rsid w:val="00E3180D"/>
    <w:rsid w:val="00E31BF5"/>
    <w:rsid w:val="00E31F8B"/>
    <w:rsid w:val="00E322AC"/>
    <w:rsid w:val="00E32366"/>
    <w:rsid w:val="00E32428"/>
    <w:rsid w:val="00E32978"/>
    <w:rsid w:val="00E32A0B"/>
    <w:rsid w:val="00E32F29"/>
    <w:rsid w:val="00E33652"/>
    <w:rsid w:val="00E33663"/>
    <w:rsid w:val="00E33812"/>
    <w:rsid w:val="00E33A19"/>
    <w:rsid w:val="00E33BD9"/>
    <w:rsid w:val="00E33C6B"/>
    <w:rsid w:val="00E33C8B"/>
    <w:rsid w:val="00E33E54"/>
    <w:rsid w:val="00E33E5B"/>
    <w:rsid w:val="00E33EBA"/>
    <w:rsid w:val="00E34420"/>
    <w:rsid w:val="00E3464E"/>
    <w:rsid w:val="00E34AD6"/>
    <w:rsid w:val="00E34C21"/>
    <w:rsid w:val="00E34FCA"/>
    <w:rsid w:val="00E351A2"/>
    <w:rsid w:val="00E35588"/>
    <w:rsid w:val="00E356B6"/>
    <w:rsid w:val="00E3575F"/>
    <w:rsid w:val="00E3599A"/>
    <w:rsid w:val="00E35B18"/>
    <w:rsid w:val="00E35B1C"/>
    <w:rsid w:val="00E35B35"/>
    <w:rsid w:val="00E35C9B"/>
    <w:rsid w:val="00E35D85"/>
    <w:rsid w:val="00E35EF3"/>
    <w:rsid w:val="00E367D0"/>
    <w:rsid w:val="00E36FE1"/>
    <w:rsid w:val="00E372A5"/>
    <w:rsid w:val="00E373B2"/>
    <w:rsid w:val="00E37840"/>
    <w:rsid w:val="00E37B2C"/>
    <w:rsid w:val="00E37D7A"/>
    <w:rsid w:val="00E404AF"/>
    <w:rsid w:val="00E40742"/>
    <w:rsid w:val="00E4081C"/>
    <w:rsid w:val="00E40EFF"/>
    <w:rsid w:val="00E4101A"/>
    <w:rsid w:val="00E411C9"/>
    <w:rsid w:val="00E4168D"/>
    <w:rsid w:val="00E418B9"/>
    <w:rsid w:val="00E4266C"/>
    <w:rsid w:val="00E428B5"/>
    <w:rsid w:val="00E428F1"/>
    <w:rsid w:val="00E42E4C"/>
    <w:rsid w:val="00E42FDF"/>
    <w:rsid w:val="00E43182"/>
    <w:rsid w:val="00E432B4"/>
    <w:rsid w:val="00E433D1"/>
    <w:rsid w:val="00E43405"/>
    <w:rsid w:val="00E43B07"/>
    <w:rsid w:val="00E4401F"/>
    <w:rsid w:val="00E440A0"/>
    <w:rsid w:val="00E44342"/>
    <w:rsid w:val="00E4453D"/>
    <w:rsid w:val="00E446A5"/>
    <w:rsid w:val="00E44BBF"/>
    <w:rsid w:val="00E44F0A"/>
    <w:rsid w:val="00E452BB"/>
    <w:rsid w:val="00E4542B"/>
    <w:rsid w:val="00E455BC"/>
    <w:rsid w:val="00E45820"/>
    <w:rsid w:val="00E45BF2"/>
    <w:rsid w:val="00E45F95"/>
    <w:rsid w:val="00E45FCB"/>
    <w:rsid w:val="00E460E0"/>
    <w:rsid w:val="00E46240"/>
    <w:rsid w:val="00E46277"/>
    <w:rsid w:val="00E4665F"/>
    <w:rsid w:val="00E46718"/>
    <w:rsid w:val="00E4692A"/>
    <w:rsid w:val="00E46A6B"/>
    <w:rsid w:val="00E46DE3"/>
    <w:rsid w:val="00E4755B"/>
    <w:rsid w:val="00E477F0"/>
    <w:rsid w:val="00E47F82"/>
    <w:rsid w:val="00E50127"/>
    <w:rsid w:val="00E50162"/>
    <w:rsid w:val="00E50170"/>
    <w:rsid w:val="00E50485"/>
    <w:rsid w:val="00E5050C"/>
    <w:rsid w:val="00E50A13"/>
    <w:rsid w:val="00E50B97"/>
    <w:rsid w:val="00E50C97"/>
    <w:rsid w:val="00E510AF"/>
    <w:rsid w:val="00E51689"/>
    <w:rsid w:val="00E51E2C"/>
    <w:rsid w:val="00E51F4D"/>
    <w:rsid w:val="00E52248"/>
    <w:rsid w:val="00E528D5"/>
    <w:rsid w:val="00E52B30"/>
    <w:rsid w:val="00E52BE2"/>
    <w:rsid w:val="00E52C5A"/>
    <w:rsid w:val="00E530FB"/>
    <w:rsid w:val="00E53122"/>
    <w:rsid w:val="00E533ED"/>
    <w:rsid w:val="00E533FB"/>
    <w:rsid w:val="00E5354A"/>
    <w:rsid w:val="00E53871"/>
    <w:rsid w:val="00E53CF8"/>
    <w:rsid w:val="00E53E25"/>
    <w:rsid w:val="00E53F8C"/>
    <w:rsid w:val="00E53FFB"/>
    <w:rsid w:val="00E54002"/>
    <w:rsid w:val="00E5426B"/>
    <w:rsid w:val="00E543D9"/>
    <w:rsid w:val="00E545F4"/>
    <w:rsid w:val="00E548A1"/>
    <w:rsid w:val="00E54F1A"/>
    <w:rsid w:val="00E55919"/>
    <w:rsid w:val="00E5618D"/>
    <w:rsid w:val="00E56420"/>
    <w:rsid w:val="00E56464"/>
    <w:rsid w:val="00E565BB"/>
    <w:rsid w:val="00E565F1"/>
    <w:rsid w:val="00E5680A"/>
    <w:rsid w:val="00E5687C"/>
    <w:rsid w:val="00E5697A"/>
    <w:rsid w:val="00E56A55"/>
    <w:rsid w:val="00E571AE"/>
    <w:rsid w:val="00E576B2"/>
    <w:rsid w:val="00E5775F"/>
    <w:rsid w:val="00E57A8D"/>
    <w:rsid w:val="00E6037E"/>
    <w:rsid w:val="00E606B2"/>
    <w:rsid w:val="00E606BE"/>
    <w:rsid w:val="00E60786"/>
    <w:rsid w:val="00E607BE"/>
    <w:rsid w:val="00E60889"/>
    <w:rsid w:val="00E60A7F"/>
    <w:rsid w:val="00E60AF0"/>
    <w:rsid w:val="00E60B3F"/>
    <w:rsid w:val="00E60FA6"/>
    <w:rsid w:val="00E6117D"/>
    <w:rsid w:val="00E611F3"/>
    <w:rsid w:val="00E6122D"/>
    <w:rsid w:val="00E61288"/>
    <w:rsid w:val="00E614DA"/>
    <w:rsid w:val="00E6150D"/>
    <w:rsid w:val="00E61592"/>
    <w:rsid w:val="00E61738"/>
    <w:rsid w:val="00E62054"/>
    <w:rsid w:val="00E62215"/>
    <w:rsid w:val="00E623E7"/>
    <w:rsid w:val="00E62DEF"/>
    <w:rsid w:val="00E6324A"/>
    <w:rsid w:val="00E63296"/>
    <w:rsid w:val="00E635E2"/>
    <w:rsid w:val="00E636A5"/>
    <w:rsid w:val="00E63953"/>
    <w:rsid w:val="00E639BC"/>
    <w:rsid w:val="00E63C4B"/>
    <w:rsid w:val="00E63CB3"/>
    <w:rsid w:val="00E64284"/>
    <w:rsid w:val="00E64890"/>
    <w:rsid w:val="00E64936"/>
    <w:rsid w:val="00E64CDF"/>
    <w:rsid w:val="00E64E5F"/>
    <w:rsid w:val="00E64F80"/>
    <w:rsid w:val="00E64F9C"/>
    <w:rsid w:val="00E650A6"/>
    <w:rsid w:val="00E651EE"/>
    <w:rsid w:val="00E6530C"/>
    <w:rsid w:val="00E65452"/>
    <w:rsid w:val="00E659DC"/>
    <w:rsid w:val="00E659E1"/>
    <w:rsid w:val="00E65E08"/>
    <w:rsid w:val="00E66080"/>
    <w:rsid w:val="00E6689F"/>
    <w:rsid w:val="00E670A3"/>
    <w:rsid w:val="00E67279"/>
    <w:rsid w:val="00E67809"/>
    <w:rsid w:val="00E67F9C"/>
    <w:rsid w:val="00E70177"/>
    <w:rsid w:val="00E70268"/>
    <w:rsid w:val="00E704D5"/>
    <w:rsid w:val="00E7067A"/>
    <w:rsid w:val="00E707EF"/>
    <w:rsid w:val="00E70B91"/>
    <w:rsid w:val="00E70C6B"/>
    <w:rsid w:val="00E70D1D"/>
    <w:rsid w:val="00E70D71"/>
    <w:rsid w:val="00E70EEB"/>
    <w:rsid w:val="00E70F57"/>
    <w:rsid w:val="00E70F59"/>
    <w:rsid w:val="00E7108F"/>
    <w:rsid w:val="00E71148"/>
    <w:rsid w:val="00E7115B"/>
    <w:rsid w:val="00E71318"/>
    <w:rsid w:val="00E71353"/>
    <w:rsid w:val="00E71453"/>
    <w:rsid w:val="00E71525"/>
    <w:rsid w:val="00E715DD"/>
    <w:rsid w:val="00E7180A"/>
    <w:rsid w:val="00E7183B"/>
    <w:rsid w:val="00E718BE"/>
    <w:rsid w:val="00E71F1E"/>
    <w:rsid w:val="00E729B3"/>
    <w:rsid w:val="00E72DD6"/>
    <w:rsid w:val="00E73642"/>
    <w:rsid w:val="00E7366D"/>
    <w:rsid w:val="00E73ABC"/>
    <w:rsid w:val="00E73B20"/>
    <w:rsid w:val="00E73DEA"/>
    <w:rsid w:val="00E741B8"/>
    <w:rsid w:val="00E74344"/>
    <w:rsid w:val="00E74461"/>
    <w:rsid w:val="00E74549"/>
    <w:rsid w:val="00E746AA"/>
    <w:rsid w:val="00E7486A"/>
    <w:rsid w:val="00E74A08"/>
    <w:rsid w:val="00E74BD2"/>
    <w:rsid w:val="00E74C06"/>
    <w:rsid w:val="00E74EC1"/>
    <w:rsid w:val="00E74FAD"/>
    <w:rsid w:val="00E7500D"/>
    <w:rsid w:val="00E755A1"/>
    <w:rsid w:val="00E756A5"/>
    <w:rsid w:val="00E758BA"/>
    <w:rsid w:val="00E75944"/>
    <w:rsid w:val="00E75C3D"/>
    <w:rsid w:val="00E75E4F"/>
    <w:rsid w:val="00E76094"/>
    <w:rsid w:val="00E76595"/>
    <w:rsid w:val="00E76697"/>
    <w:rsid w:val="00E76E3B"/>
    <w:rsid w:val="00E775A0"/>
    <w:rsid w:val="00E776B7"/>
    <w:rsid w:val="00E77E0F"/>
    <w:rsid w:val="00E80042"/>
    <w:rsid w:val="00E807FA"/>
    <w:rsid w:val="00E80A0A"/>
    <w:rsid w:val="00E80E6F"/>
    <w:rsid w:val="00E81015"/>
    <w:rsid w:val="00E81168"/>
    <w:rsid w:val="00E816FF"/>
    <w:rsid w:val="00E81814"/>
    <w:rsid w:val="00E81F1C"/>
    <w:rsid w:val="00E8234F"/>
    <w:rsid w:val="00E8239F"/>
    <w:rsid w:val="00E82596"/>
    <w:rsid w:val="00E82789"/>
    <w:rsid w:val="00E82A46"/>
    <w:rsid w:val="00E82C3F"/>
    <w:rsid w:val="00E82CE3"/>
    <w:rsid w:val="00E82D09"/>
    <w:rsid w:val="00E82D19"/>
    <w:rsid w:val="00E82D50"/>
    <w:rsid w:val="00E82D87"/>
    <w:rsid w:val="00E82DC6"/>
    <w:rsid w:val="00E82DD1"/>
    <w:rsid w:val="00E8308C"/>
    <w:rsid w:val="00E83C8C"/>
    <w:rsid w:val="00E83CB4"/>
    <w:rsid w:val="00E83D4B"/>
    <w:rsid w:val="00E83EB5"/>
    <w:rsid w:val="00E84036"/>
    <w:rsid w:val="00E840CB"/>
    <w:rsid w:val="00E840EB"/>
    <w:rsid w:val="00E841B4"/>
    <w:rsid w:val="00E84D4B"/>
    <w:rsid w:val="00E84F81"/>
    <w:rsid w:val="00E84FCA"/>
    <w:rsid w:val="00E85093"/>
    <w:rsid w:val="00E8578C"/>
    <w:rsid w:val="00E85800"/>
    <w:rsid w:val="00E85852"/>
    <w:rsid w:val="00E85A7A"/>
    <w:rsid w:val="00E85C63"/>
    <w:rsid w:val="00E85E43"/>
    <w:rsid w:val="00E863FD"/>
    <w:rsid w:val="00E8670A"/>
    <w:rsid w:val="00E86A73"/>
    <w:rsid w:val="00E86A8E"/>
    <w:rsid w:val="00E86CA6"/>
    <w:rsid w:val="00E86DA8"/>
    <w:rsid w:val="00E86EAD"/>
    <w:rsid w:val="00E874D2"/>
    <w:rsid w:val="00E874FE"/>
    <w:rsid w:val="00E877E7"/>
    <w:rsid w:val="00E879BE"/>
    <w:rsid w:val="00E87D35"/>
    <w:rsid w:val="00E87F6D"/>
    <w:rsid w:val="00E900A2"/>
    <w:rsid w:val="00E900BC"/>
    <w:rsid w:val="00E90906"/>
    <w:rsid w:val="00E90BCB"/>
    <w:rsid w:val="00E9122B"/>
    <w:rsid w:val="00E91F1A"/>
    <w:rsid w:val="00E92187"/>
    <w:rsid w:val="00E921CC"/>
    <w:rsid w:val="00E922A1"/>
    <w:rsid w:val="00E92328"/>
    <w:rsid w:val="00E9253F"/>
    <w:rsid w:val="00E92744"/>
    <w:rsid w:val="00E929BB"/>
    <w:rsid w:val="00E92FE0"/>
    <w:rsid w:val="00E930A6"/>
    <w:rsid w:val="00E937DF"/>
    <w:rsid w:val="00E9394D"/>
    <w:rsid w:val="00E93DB9"/>
    <w:rsid w:val="00E9415E"/>
    <w:rsid w:val="00E942A1"/>
    <w:rsid w:val="00E942A2"/>
    <w:rsid w:val="00E94378"/>
    <w:rsid w:val="00E94694"/>
    <w:rsid w:val="00E950AA"/>
    <w:rsid w:val="00E95168"/>
    <w:rsid w:val="00E953F1"/>
    <w:rsid w:val="00E9595A"/>
    <w:rsid w:val="00E95C11"/>
    <w:rsid w:val="00E95DA4"/>
    <w:rsid w:val="00E966F3"/>
    <w:rsid w:val="00E96802"/>
    <w:rsid w:val="00E96C64"/>
    <w:rsid w:val="00E96E86"/>
    <w:rsid w:val="00E96EC6"/>
    <w:rsid w:val="00E96FE9"/>
    <w:rsid w:val="00E976E5"/>
    <w:rsid w:val="00E977A0"/>
    <w:rsid w:val="00E977D4"/>
    <w:rsid w:val="00EA028E"/>
    <w:rsid w:val="00EA03C8"/>
    <w:rsid w:val="00EA03D3"/>
    <w:rsid w:val="00EA0489"/>
    <w:rsid w:val="00EA087E"/>
    <w:rsid w:val="00EA0999"/>
    <w:rsid w:val="00EA0AD3"/>
    <w:rsid w:val="00EA0FC0"/>
    <w:rsid w:val="00EA1065"/>
    <w:rsid w:val="00EA149C"/>
    <w:rsid w:val="00EA1A1E"/>
    <w:rsid w:val="00EA1A63"/>
    <w:rsid w:val="00EA1E20"/>
    <w:rsid w:val="00EA1EC2"/>
    <w:rsid w:val="00EA1FF2"/>
    <w:rsid w:val="00EA258A"/>
    <w:rsid w:val="00EA27B8"/>
    <w:rsid w:val="00EA284E"/>
    <w:rsid w:val="00EA2914"/>
    <w:rsid w:val="00EA2BCB"/>
    <w:rsid w:val="00EA36BB"/>
    <w:rsid w:val="00EA3E94"/>
    <w:rsid w:val="00EA3F31"/>
    <w:rsid w:val="00EA400E"/>
    <w:rsid w:val="00EA4254"/>
    <w:rsid w:val="00EA42E0"/>
    <w:rsid w:val="00EA42F5"/>
    <w:rsid w:val="00EA431F"/>
    <w:rsid w:val="00EA476D"/>
    <w:rsid w:val="00EA47DF"/>
    <w:rsid w:val="00EA4AFA"/>
    <w:rsid w:val="00EA50C2"/>
    <w:rsid w:val="00EA55F1"/>
    <w:rsid w:val="00EA57A1"/>
    <w:rsid w:val="00EA588C"/>
    <w:rsid w:val="00EA5B52"/>
    <w:rsid w:val="00EA5C40"/>
    <w:rsid w:val="00EA5F4A"/>
    <w:rsid w:val="00EA6130"/>
    <w:rsid w:val="00EA636D"/>
    <w:rsid w:val="00EA68AF"/>
    <w:rsid w:val="00EA6BFE"/>
    <w:rsid w:val="00EA6F92"/>
    <w:rsid w:val="00EA73CD"/>
    <w:rsid w:val="00EA79E9"/>
    <w:rsid w:val="00EA7AED"/>
    <w:rsid w:val="00EA7D23"/>
    <w:rsid w:val="00EA7D2D"/>
    <w:rsid w:val="00EA7E72"/>
    <w:rsid w:val="00EA7ED0"/>
    <w:rsid w:val="00EB01E4"/>
    <w:rsid w:val="00EB03A8"/>
    <w:rsid w:val="00EB04E0"/>
    <w:rsid w:val="00EB0641"/>
    <w:rsid w:val="00EB0BF3"/>
    <w:rsid w:val="00EB1153"/>
    <w:rsid w:val="00EB119D"/>
    <w:rsid w:val="00EB1215"/>
    <w:rsid w:val="00EB13B6"/>
    <w:rsid w:val="00EB1568"/>
    <w:rsid w:val="00EB1633"/>
    <w:rsid w:val="00EB1644"/>
    <w:rsid w:val="00EB1666"/>
    <w:rsid w:val="00EB16F2"/>
    <w:rsid w:val="00EB1701"/>
    <w:rsid w:val="00EB1CA1"/>
    <w:rsid w:val="00EB1D93"/>
    <w:rsid w:val="00EB1EF3"/>
    <w:rsid w:val="00EB1FF1"/>
    <w:rsid w:val="00EB2042"/>
    <w:rsid w:val="00EB20B5"/>
    <w:rsid w:val="00EB213F"/>
    <w:rsid w:val="00EB2175"/>
    <w:rsid w:val="00EB244D"/>
    <w:rsid w:val="00EB2569"/>
    <w:rsid w:val="00EB2784"/>
    <w:rsid w:val="00EB2A57"/>
    <w:rsid w:val="00EB2B5E"/>
    <w:rsid w:val="00EB2C22"/>
    <w:rsid w:val="00EB2CFD"/>
    <w:rsid w:val="00EB2DB9"/>
    <w:rsid w:val="00EB324B"/>
    <w:rsid w:val="00EB3608"/>
    <w:rsid w:val="00EB380F"/>
    <w:rsid w:val="00EB3913"/>
    <w:rsid w:val="00EB3979"/>
    <w:rsid w:val="00EB39E3"/>
    <w:rsid w:val="00EB3C04"/>
    <w:rsid w:val="00EB3C64"/>
    <w:rsid w:val="00EB417B"/>
    <w:rsid w:val="00EB4238"/>
    <w:rsid w:val="00EB4667"/>
    <w:rsid w:val="00EB493E"/>
    <w:rsid w:val="00EB4AAA"/>
    <w:rsid w:val="00EB4E91"/>
    <w:rsid w:val="00EB541A"/>
    <w:rsid w:val="00EB5459"/>
    <w:rsid w:val="00EB571C"/>
    <w:rsid w:val="00EB5743"/>
    <w:rsid w:val="00EB57AB"/>
    <w:rsid w:val="00EB5C47"/>
    <w:rsid w:val="00EB5D2D"/>
    <w:rsid w:val="00EB5F70"/>
    <w:rsid w:val="00EB6056"/>
    <w:rsid w:val="00EB628D"/>
    <w:rsid w:val="00EB6451"/>
    <w:rsid w:val="00EB67C9"/>
    <w:rsid w:val="00EB692E"/>
    <w:rsid w:val="00EB7267"/>
    <w:rsid w:val="00EB7444"/>
    <w:rsid w:val="00EB796E"/>
    <w:rsid w:val="00EB7B7C"/>
    <w:rsid w:val="00EB7C55"/>
    <w:rsid w:val="00EB7ED1"/>
    <w:rsid w:val="00EC01EC"/>
    <w:rsid w:val="00EC036F"/>
    <w:rsid w:val="00EC078C"/>
    <w:rsid w:val="00EC078E"/>
    <w:rsid w:val="00EC07AB"/>
    <w:rsid w:val="00EC0C0B"/>
    <w:rsid w:val="00EC0C72"/>
    <w:rsid w:val="00EC0DDE"/>
    <w:rsid w:val="00EC0E91"/>
    <w:rsid w:val="00EC10BA"/>
    <w:rsid w:val="00EC10FF"/>
    <w:rsid w:val="00EC113B"/>
    <w:rsid w:val="00EC127A"/>
    <w:rsid w:val="00EC1298"/>
    <w:rsid w:val="00EC171A"/>
    <w:rsid w:val="00EC1772"/>
    <w:rsid w:val="00EC1931"/>
    <w:rsid w:val="00EC1AF4"/>
    <w:rsid w:val="00EC1DAC"/>
    <w:rsid w:val="00EC1DB5"/>
    <w:rsid w:val="00EC22F6"/>
    <w:rsid w:val="00EC26C6"/>
    <w:rsid w:val="00EC286E"/>
    <w:rsid w:val="00EC29D1"/>
    <w:rsid w:val="00EC2A56"/>
    <w:rsid w:val="00EC2A6D"/>
    <w:rsid w:val="00EC2A7D"/>
    <w:rsid w:val="00EC2DBB"/>
    <w:rsid w:val="00EC2DCF"/>
    <w:rsid w:val="00EC34FD"/>
    <w:rsid w:val="00EC3BDB"/>
    <w:rsid w:val="00EC3C07"/>
    <w:rsid w:val="00EC41B0"/>
    <w:rsid w:val="00EC4321"/>
    <w:rsid w:val="00EC4665"/>
    <w:rsid w:val="00EC46DE"/>
    <w:rsid w:val="00EC4B0A"/>
    <w:rsid w:val="00EC4BE0"/>
    <w:rsid w:val="00EC4D74"/>
    <w:rsid w:val="00EC5258"/>
    <w:rsid w:val="00EC5490"/>
    <w:rsid w:val="00EC5898"/>
    <w:rsid w:val="00EC5939"/>
    <w:rsid w:val="00EC59C9"/>
    <w:rsid w:val="00EC5F31"/>
    <w:rsid w:val="00EC60A9"/>
    <w:rsid w:val="00EC6828"/>
    <w:rsid w:val="00EC6A47"/>
    <w:rsid w:val="00EC6F04"/>
    <w:rsid w:val="00EC7407"/>
    <w:rsid w:val="00EC7990"/>
    <w:rsid w:val="00EC7FEB"/>
    <w:rsid w:val="00ED00E2"/>
    <w:rsid w:val="00ED0104"/>
    <w:rsid w:val="00ED0B92"/>
    <w:rsid w:val="00ED0BAB"/>
    <w:rsid w:val="00ED0E44"/>
    <w:rsid w:val="00ED100C"/>
    <w:rsid w:val="00ED1119"/>
    <w:rsid w:val="00ED1177"/>
    <w:rsid w:val="00ED134B"/>
    <w:rsid w:val="00ED13C7"/>
    <w:rsid w:val="00ED1AC9"/>
    <w:rsid w:val="00ED1CC1"/>
    <w:rsid w:val="00ED1CE6"/>
    <w:rsid w:val="00ED1DD9"/>
    <w:rsid w:val="00ED1E1C"/>
    <w:rsid w:val="00ED1F10"/>
    <w:rsid w:val="00ED227B"/>
    <w:rsid w:val="00ED231C"/>
    <w:rsid w:val="00ED23E2"/>
    <w:rsid w:val="00ED2424"/>
    <w:rsid w:val="00ED27DE"/>
    <w:rsid w:val="00ED285C"/>
    <w:rsid w:val="00ED2888"/>
    <w:rsid w:val="00ED2B7A"/>
    <w:rsid w:val="00ED2DEB"/>
    <w:rsid w:val="00ED2EED"/>
    <w:rsid w:val="00ED2FE7"/>
    <w:rsid w:val="00ED31A2"/>
    <w:rsid w:val="00ED343C"/>
    <w:rsid w:val="00ED398A"/>
    <w:rsid w:val="00ED3AAA"/>
    <w:rsid w:val="00ED40A5"/>
    <w:rsid w:val="00ED43D2"/>
    <w:rsid w:val="00ED444B"/>
    <w:rsid w:val="00ED46CA"/>
    <w:rsid w:val="00ED4B51"/>
    <w:rsid w:val="00ED4EF4"/>
    <w:rsid w:val="00ED4F48"/>
    <w:rsid w:val="00ED5563"/>
    <w:rsid w:val="00ED5935"/>
    <w:rsid w:val="00ED5B1E"/>
    <w:rsid w:val="00ED5DDA"/>
    <w:rsid w:val="00ED614B"/>
    <w:rsid w:val="00ED6195"/>
    <w:rsid w:val="00ED62E8"/>
    <w:rsid w:val="00ED6334"/>
    <w:rsid w:val="00ED65FB"/>
    <w:rsid w:val="00ED6601"/>
    <w:rsid w:val="00ED690C"/>
    <w:rsid w:val="00ED6938"/>
    <w:rsid w:val="00ED71F3"/>
    <w:rsid w:val="00ED72C7"/>
    <w:rsid w:val="00ED7308"/>
    <w:rsid w:val="00ED7708"/>
    <w:rsid w:val="00ED7DBB"/>
    <w:rsid w:val="00EE005B"/>
    <w:rsid w:val="00EE06AD"/>
    <w:rsid w:val="00EE08D1"/>
    <w:rsid w:val="00EE0B0F"/>
    <w:rsid w:val="00EE0C77"/>
    <w:rsid w:val="00EE0F58"/>
    <w:rsid w:val="00EE103A"/>
    <w:rsid w:val="00EE1225"/>
    <w:rsid w:val="00EE140C"/>
    <w:rsid w:val="00EE201B"/>
    <w:rsid w:val="00EE21C4"/>
    <w:rsid w:val="00EE23EA"/>
    <w:rsid w:val="00EE24CE"/>
    <w:rsid w:val="00EE2629"/>
    <w:rsid w:val="00EE27E6"/>
    <w:rsid w:val="00EE2B6E"/>
    <w:rsid w:val="00EE2CCD"/>
    <w:rsid w:val="00EE2E75"/>
    <w:rsid w:val="00EE3249"/>
    <w:rsid w:val="00EE3331"/>
    <w:rsid w:val="00EE3A5B"/>
    <w:rsid w:val="00EE3CFB"/>
    <w:rsid w:val="00EE3D4B"/>
    <w:rsid w:val="00EE4132"/>
    <w:rsid w:val="00EE45EF"/>
    <w:rsid w:val="00EE4B40"/>
    <w:rsid w:val="00EE4D1B"/>
    <w:rsid w:val="00EE527E"/>
    <w:rsid w:val="00EE5458"/>
    <w:rsid w:val="00EE56D5"/>
    <w:rsid w:val="00EE5B5C"/>
    <w:rsid w:val="00EE5C5D"/>
    <w:rsid w:val="00EE5D19"/>
    <w:rsid w:val="00EE5FA5"/>
    <w:rsid w:val="00EE5FD7"/>
    <w:rsid w:val="00EE625E"/>
    <w:rsid w:val="00EE65E2"/>
    <w:rsid w:val="00EE67B9"/>
    <w:rsid w:val="00EE6914"/>
    <w:rsid w:val="00EE6B85"/>
    <w:rsid w:val="00EE6C3B"/>
    <w:rsid w:val="00EE6EB5"/>
    <w:rsid w:val="00EE7100"/>
    <w:rsid w:val="00EE73DF"/>
    <w:rsid w:val="00EE7651"/>
    <w:rsid w:val="00EE7E0A"/>
    <w:rsid w:val="00EE7F8E"/>
    <w:rsid w:val="00EF03D7"/>
    <w:rsid w:val="00EF06F0"/>
    <w:rsid w:val="00EF08BB"/>
    <w:rsid w:val="00EF0924"/>
    <w:rsid w:val="00EF0F1A"/>
    <w:rsid w:val="00EF1198"/>
    <w:rsid w:val="00EF1254"/>
    <w:rsid w:val="00EF1451"/>
    <w:rsid w:val="00EF1548"/>
    <w:rsid w:val="00EF15D9"/>
    <w:rsid w:val="00EF1882"/>
    <w:rsid w:val="00EF1A4C"/>
    <w:rsid w:val="00EF1BEC"/>
    <w:rsid w:val="00EF1E14"/>
    <w:rsid w:val="00EF229D"/>
    <w:rsid w:val="00EF2D12"/>
    <w:rsid w:val="00EF3398"/>
    <w:rsid w:val="00EF362E"/>
    <w:rsid w:val="00EF3824"/>
    <w:rsid w:val="00EF38D9"/>
    <w:rsid w:val="00EF3D86"/>
    <w:rsid w:val="00EF3F29"/>
    <w:rsid w:val="00EF441B"/>
    <w:rsid w:val="00EF4ADE"/>
    <w:rsid w:val="00EF4B08"/>
    <w:rsid w:val="00EF4E79"/>
    <w:rsid w:val="00EF4F1D"/>
    <w:rsid w:val="00EF50C4"/>
    <w:rsid w:val="00EF519C"/>
    <w:rsid w:val="00EF5492"/>
    <w:rsid w:val="00EF5974"/>
    <w:rsid w:val="00EF5DA7"/>
    <w:rsid w:val="00EF65A4"/>
    <w:rsid w:val="00EF68E4"/>
    <w:rsid w:val="00EF69AE"/>
    <w:rsid w:val="00EF6AF6"/>
    <w:rsid w:val="00EF6C5A"/>
    <w:rsid w:val="00EF6DAC"/>
    <w:rsid w:val="00EF7164"/>
    <w:rsid w:val="00EF718A"/>
    <w:rsid w:val="00EF7235"/>
    <w:rsid w:val="00EF7261"/>
    <w:rsid w:val="00EF7336"/>
    <w:rsid w:val="00EF767E"/>
    <w:rsid w:val="00EF79D9"/>
    <w:rsid w:val="00EF7ADE"/>
    <w:rsid w:val="00EF7C73"/>
    <w:rsid w:val="00EF7CB0"/>
    <w:rsid w:val="00F00296"/>
    <w:rsid w:val="00F0077B"/>
    <w:rsid w:val="00F00819"/>
    <w:rsid w:val="00F00A1B"/>
    <w:rsid w:val="00F00AE0"/>
    <w:rsid w:val="00F00CEA"/>
    <w:rsid w:val="00F01189"/>
    <w:rsid w:val="00F0119B"/>
    <w:rsid w:val="00F01367"/>
    <w:rsid w:val="00F0141E"/>
    <w:rsid w:val="00F014F1"/>
    <w:rsid w:val="00F0181B"/>
    <w:rsid w:val="00F01AD0"/>
    <w:rsid w:val="00F01D87"/>
    <w:rsid w:val="00F01FE7"/>
    <w:rsid w:val="00F020EA"/>
    <w:rsid w:val="00F02442"/>
    <w:rsid w:val="00F02D49"/>
    <w:rsid w:val="00F032A1"/>
    <w:rsid w:val="00F03506"/>
    <w:rsid w:val="00F03668"/>
    <w:rsid w:val="00F0453B"/>
    <w:rsid w:val="00F04750"/>
    <w:rsid w:val="00F0487B"/>
    <w:rsid w:val="00F04B76"/>
    <w:rsid w:val="00F0505C"/>
    <w:rsid w:val="00F0537D"/>
    <w:rsid w:val="00F05509"/>
    <w:rsid w:val="00F05B41"/>
    <w:rsid w:val="00F05FE7"/>
    <w:rsid w:val="00F05FE8"/>
    <w:rsid w:val="00F06425"/>
    <w:rsid w:val="00F064F6"/>
    <w:rsid w:val="00F065B5"/>
    <w:rsid w:val="00F066AD"/>
    <w:rsid w:val="00F0672B"/>
    <w:rsid w:val="00F068D6"/>
    <w:rsid w:val="00F06927"/>
    <w:rsid w:val="00F06AE4"/>
    <w:rsid w:val="00F06CD8"/>
    <w:rsid w:val="00F06D08"/>
    <w:rsid w:val="00F06E2F"/>
    <w:rsid w:val="00F0781D"/>
    <w:rsid w:val="00F07ACB"/>
    <w:rsid w:val="00F07CEF"/>
    <w:rsid w:val="00F07F8D"/>
    <w:rsid w:val="00F10335"/>
    <w:rsid w:val="00F10509"/>
    <w:rsid w:val="00F10745"/>
    <w:rsid w:val="00F10946"/>
    <w:rsid w:val="00F10952"/>
    <w:rsid w:val="00F10E98"/>
    <w:rsid w:val="00F111B5"/>
    <w:rsid w:val="00F11283"/>
    <w:rsid w:val="00F11392"/>
    <w:rsid w:val="00F1168F"/>
    <w:rsid w:val="00F120F9"/>
    <w:rsid w:val="00F1265F"/>
    <w:rsid w:val="00F126F4"/>
    <w:rsid w:val="00F1295D"/>
    <w:rsid w:val="00F12CF4"/>
    <w:rsid w:val="00F12F40"/>
    <w:rsid w:val="00F13203"/>
    <w:rsid w:val="00F1335A"/>
    <w:rsid w:val="00F13618"/>
    <w:rsid w:val="00F13929"/>
    <w:rsid w:val="00F139E2"/>
    <w:rsid w:val="00F13B5D"/>
    <w:rsid w:val="00F13BEA"/>
    <w:rsid w:val="00F13CB8"/>
    <w:rsid w:val="00F13CE7"/>
    <w:rsid w:val="00F14098"/>
    <w:rsid w:val="00F141C0"/>
    <w:rsid w:val="00F145AD"/>
    <w:rsid w:val="00F149FF"/>
    <w:rsid w:val="00F14D55"/>
    <w:rsid w:val="00F1528A"/>
    <w:rsid w:val="00F15603"/>
    <w:rsid w:val="00F15774"/>
    <w:rsid w:val="00F159CF"/>
    <w:rsid w:val="00F159E9"/>
    <w:rsid w:val="00F15B7D"/>
    <w:rsid w:val="00F15CA1"/>
    <w:rsid w:val="00F15E56"/>
    <w:rsid w:val="00F15F6F"/>
    <w:rsid w:val="00F160EB"/>
    <w:rsid w:val="00F1626F"/>
    <w:rsid w:val="00F16575"/>
    <w:rsid w:val="00F1672A"/>
    <w:rsid w:val="00F16760"/>
    <w:rsid w:val="00F16AE3"/>
    <w:rsid w:val="00F16B0E"/>
    <w:rsid w:val="00F16EFC"/>
    <w:rsid w:val="00F16FEF"/>
    <w:rsid w:val="00F17684"/>
    <w:rsid w:val="00F17922"/>
    <w:rsid w:val="00F17A90"/>
    <w:rsid w:val="00F17F7D"/>
    <w:rsid w:val="00F200A8"/>
    <w:rsid w:val="00F200C7"/>
    <w:rsid w:val="00F209BE"/>
    <w:rsid w:val="00F20A90"/>
    <w:rsid w:val="00F20D56"/>
    <w:rsid w:val="00F20DAA"/>
    <w:rsid w:val="00F20FCD"/>
    <w:rsid w:val="00F211DF"/>
    <w:rsid w:val="00F2166D"/>
    <w:rsid w:val="00F21879"/>
    <w:rsid w:val="00F21941"/>
    <w:rsid w:val="00F219FC"/>
    <w:rsid w:val="00F21DEB"/>
    <w:rsid w:val="00F21E0A"/>
    <w:rsid w:val="00F221CD"/>
    <w:rsid w:val="00F2264A"/>
    <w:rsid w:val="00F226D6"/>
    <w:rsid w:val="00F2295A"/>
    <w:rsid w:val="00F23251"/>
    <w:rsid w:val="00F232ED"/>
    <w:rsid w:val="00F23549"/>
    <w:rsid w:val="00F23E2F"/>
    <w:rsid w:val="00F24069"/>
    <w:rsid w:val="00F240DC"/>
    <w:rsid w:val="00F24320"/>
    <w:rsid w:val="00F24544"/>
    <w:rsid w:val="00F2462E"/>
    <w:rsid w:val="00F24777"/>
    <w:rsid w:val="00F2492A"/>
    <w:rsid w:val="00F24CB0"/>
    <w:rsid w:val="00F24D2F"/>
    <w:rsid w:val="00F24D56"/>
    <w:rsid w:val="00F25016"/>
    <w:rsid w:val="00F25105"/>
    <w:rsid w:val="00F25176"/>
    <w:rsid w:val="00F25423"/>
    <w:rsid w:val="00F254ED"/>
    <w:rsid w:val="00F25610"/>
    <w:rsid w:val="00F2567C"/>
    <w:rsid w:val="00F256CE"/>
    <w:rsid w:val="00F257D9"/>
    <w:rsid w:val="00F25A50"/>
    <w:rsid w:val="00F25D59"/>
    <w:rsid w:val="00F2625F"/>
    <w:rsid w:val="00F263F3"/>
    <w:rsid w:val="00F2670E"/>
    <w:rsid w:val="00F26931"/>
    <w:rsid w:val="00F26998"/>
    <w:rsid w:val="00F26BEE"/>
    <w:rsid w:val="00F26EAB"/>
    <w:rsid w:val="00F26F64"/>
    <w:rsid w:val="00F26FA6"/>
    <w:rsid w:val="00F27228"/>
    <w:rsid w:val="00F27482"/>
    <w:rsid w:val="00F2752C"/>
    <w:rsid w:val="00F27A10"/>
    <w:rsid w:val="00F27B63"/>
    <w:rsid w:val="00F27D32"/>
    <w:rsid w:val="00F30089"/>
    <w:rsid w:val="00F303EC"/>
    <w:rsid w:val="00F30835"/>
    <w:rsid w:val="00F3096D"/>
    <w:rsid w:val="00F30B9F"/>
    <w:rsid w:val="00F313AC"/>
    <w:rsid w:val="00F313B5"/>
    <w:rsid w:val="00F31648"/>
    <w:rsid w:val="00F3166E"/>
    <w:rsid w:val="00F316A8"/>
    <w:rsid w:val="00F31B49"/>
    <w:rsid w:val="00F31D40"/>
    <w:rsid w:val="00F31DF5"/>
    <w:rsid w:val="00F321D3"/>
    <w:rsid w:val="00F32504"/>
    <w:rsid w:val="00F32AB1"/>
    <w:rsid w:val="00F32ADC"/>
    <w:rsid w:val="00F32C5C"/>
    <w:rsid w:val="00F32FC1"/>
    <w:rsid w:val="00F330E0"/>
    <w:rsid w:val="00F3315B"/>
    <w:rsid w:val="00F33338"/>
    <w:rsid w:val="00F33658"/>
    <w:rsid w:val="00F33879"/>
    <w:rsid w:val="00F338F3"/>
    <w:rsid w:val="00F33B2A"/>
    <w:rsid w:val="00F33D0D"/>
    <w:rsid w:val="00F340F5"/>
    <w:rsid w:val="00F34478"/>
    <w:rsid w:val="00F344ED"/>
    <w:rsid w:val="00F34563"/>
    <w:rsid w:val="00F34682"/>
    <w:rsid w:val="00F34B57"/>
    <w:rsid w:val="00F34F65"/>
    <w:rsid w:val="00F34F9A"/>
    <w:rsid w:val="00F3501C"/>
    <w:rsid w:val="00F351B8"/>
    <w:rsid w:val="00F35292"/>
    <w:rsid w:val="00F357AB"/>
    <w:rsid w:val="00F35B79"/>
    <w:rsid w:val="00F35BB7"/>
    <w:rsid w:val="00F363D2"/>
    <w:rsid w:val="00F36477"/>
    <w:rsid w:val="00F36644"/>
    <w:rsid w:val="00F366E1"/>
    <w:rsid w:val="00F36709"/>
    <w:rsid w:val="00F36960"/>
    <w:rsid w:val="00F36994"/>
    <w:rsid w:val="00F37032"/>
    <w:rsid w:val="00F375DA"/>
    <w:rsid w:val="00F37A46"/>
    <w:rsid w:val="00F37A51"/>
    <w:rsid w:val="00F37A69"/>
    <w:rsid w:val="00F400AB"/>
    <w:rsid w:val="00F403DB"/>
    <w:rsid w:val="00F40415"/>
    <w:rsid w:val="00F4052D"/>
    <w:rsid w:val="00F405FE"/>
    <w:rsid w:val="00F40677"/>
    <w:rsid w:val="00F40B23"/>
    <w:rsid w:val="00F40C67"/>
    <w:rsid w:val="00F4105B"/>
    <w:rsid w:val="00F41470"/>
    <w:rsid w:val="00F41674"/>
    <w:rsid w:val="00F41885"/>
    <w:rsid w:val="00F41BC1"/>
    <w:rsid w:val="00F42278"/>
    <w:rsid w:val="00F4252F"/>
    <w:rsid w:val="00F4253D"/>
    <w:rsid w:val="00F42647"/>
    <w:rsid w:val="00F426B6"/>
    <w:rsid w:val="00F427B6"/>
    <w:rsid w:val="00F4302B"/>
    <w:rsid w:val="00F43218"/>
    <w:rsid w:val="00F43455"/>
    <w:rsid w:val="00F437A3"/>
    <w:rsid w:val="00F43EDE"/>
    <w:rsid w:val="00F44078"/>
    <w:rsid w:val="00F44122"/>
    <w:rsid w:val="00F444DE"/>
    <w:rsid w:val="00F44D7B"/>
    <w:rsid w:val="00F44F0D"/>
    <w:rsid w:val="00F45015"/>
    <w:rsid w:val="00F45253"/>
    <w:rsid w:val="00F45314"/>
    <w:rsid w:val="00F456B1"/>
    <w:rsid w:val="00F45BB0"/>
    <w:rsid w:val="00F45EC4"/>
    <w:rsid w:val="00F45F92"/>
    <w:rsid w:val="00F46552"/>
    <w:rsid w:val="00F46711"/>
    <w:rsid w:val="00F46CFB"/>
    <w:rsid w:val="00F46ED5"/>
    <w:rsid w:val="00F47707"/>
    <w:rsid w:val="00F47918"/>
    <w:rsid w:val="00F47B25"/>
    <w:rsid w:val="00F47B82"/>
    <w:rsid w:val="00F50746"/>
    <w:rsid w:val="00F509DE"/>
    <w:rsid w:val="00F51516"/>
    <w:rsid w:val="00F51689"/>
    <w:rsid w:val="00F51821"/>
    <w:rsid w:val="00F51825"/>
    <w:rsid w:val="00F51B93"/>
    <w:rsid w:val="00F51E13"/>
    <w:rsid w:val="00F5221E"/>
    <w:rsid w:val="00F5248E"/>
    <w:rsid w:val="00F52561"/>
    <w:rsid w:val="00F52A68"/>
    <w:rsid w:val="00F52D4B"/>
    <w:rsid w:val="00F52E70"/>
    <w:rsid w:val="00F5314D"/>
    <w:rsid w:val="00F533BE"/>
    <w:rsid w:val="00F5371E"/>
    <w:rsid w:val="00F537CD"/>
    <w:rsid w:val="00F53DE5"/>
    <w:rsid w:val="00F53E53"/>
    <w:rsid w:val="00F53EE2"/>
    <w:rsid w:val="00F5480A"/>
    <w:rsid w:val="00F54B98"/>
    <w:rsid w:val="00F55188"/>
    <w:rsid w:val="00F5525F"/>
    <w:rsid w:val="00F55528"/>
    <w:rsid w:val="00F557A9"/>
    <w:rsid w:val="00F55F43"/>
    <w:rsid w:val="00F5604A"/>
    <w:rsid w:val="00F56558"/>
    <w:rsid w:val="00F56622"/>
    <w:rsid w:val="00F56865"/>
    <w:rsid w:val="00F569A0"/>
    <w:rsid w:val="00F56AC5"/>
    <w:rsid w:val="00F56C99"/>
    <w:rsid w:val="00F56D09"/>
    <w:rsid w:val="00F57558"/>
    <w:rsid w:val="00F57564"/>
    <w:rsid w:val="00F579CC"/>
    <w:rsid w:val="00F57C23"/>
    <w:rsid w:val="00F57F46"/>
    <w:rsid w:val="00F60165"/>
    <w:rsid w:val="00F605B6"/>
    <w:rsid w:val="00F60707"/>
    <w:rsid w:val="00F608B9"/>
    <w:rsid w:val="00F60F09"/>
    <w:rsid w:val="00F60FCA"/>
    <w:rsid w:val="00F610CD"/>
    <w:rsid w:val="00F6151B"/>
    <w:rsid w:val="00F61A8F"/>
    <w:rsid w:val="00F61BB2"/>
    <w:rsid w:val="00F61C9C"/>
    <w:rsid w:val="00F62095"/>
    <w:rsid w:val="00F624AA"/>
    <w:rsid w:val="00F62690"/>
    <w:rsid w:val="00F629A7"/>
    <w:rsid w:val="00F62A98"/>
    <w:rsid w:val="00F62BDE"/>
    <w:rsid w:val="00F62C5B"/>
    <w:rsid w:val="00F62E00"/>
    <w:rsid w:val="00F62EB9"/>
    <w:rsid w:val="00F62F8F"/>
    <w:rsid w:val="00F630AB"/>
    <w:rsid w:val="00F63807"/>
    <w:rsid w:val="00F63A56"/>
    <w:rsid w:val="00F63C10"/>
    <w:rsid w:val="00F64087"/>
    <w:rsid w:val="00F643EA"/>
    <w:rsid w:val="00F64466"/>
    <w:rsid w:val="00F644D8"/>
    <w:rsid w:val="00F64631"/>
    <w:rsid w:val="00F64A62"/>
    <w:rsid w:val="00F64BFC"/>
    <w:rsid w:val="00F64D81"/>
    <w:rsid w:val="00F6552E"/>
    <w:rsid w:val="00F656D4"/>
    <w:rsid w:val="00F6594F"/>
    <w:rsid w:val="00F65B4C"/>
    <w:rsid w:val="00F65D4A"/>
    <w:rsid w:val="00F6615A"/>
    <w:rsid w:val="00F66453"/>
    <w:rsid w:val="00F66540"/>
    <w:rsid w:val="00F66546"/>
    <w:rsid w:val="00F666A0"/>
    <w:rsid w:val="00F66A27"/>
    <w:rsid w:val="00F66D64"/>
    <w:rsid w:val="00F67161"/>
    <w:rsid w:val="00F6716D"/>
    <w:rsid w:val="00F6774C"/>
    <w:rsid w:val="00F67816"/>
    <w:rsid w:val="00F67BE7"/>
    <w:rsid w:val="00F67CB3"/>
    <w:rsid w:val="00F67E02"/>
    <w:rsid w:val="00F67FE7"/>
    <w:rsid w:val="00F70203"/>
    <w:rsid w:val="00F702EA"/>
    <w:rsid w:val="00F70671"/>
    <w:rsid w:val="00F70723"/>
    <w:rsid w:val="00F70867"/>
    <w:rsid w:val="00F7086D"/>
    <w:rsid w:val="00F70B89"/>
    <w:rsid w:val="00F70CC9"/>
    <w:rsid w:val="00F70D2D"/>
    <w:rsid w:val="00F713D2"/>
    <w:rsid w:val="00F714B8"/>
    <w:rsid w:val="00F718E4"/>
    <w:rsid w:val="00F71A17"/>
    <w:rsid w:val="00F71B1D"/>
    <w:rsid w:val="00F72071"/>
    <w:rsid w:val="00F729CA"/>
    <w:rsid w:val="00F72D35"/>
    <w:rsid w:val="00F72E91"/>
    <w:rsid w:val="00F732A3"/>
    <w:rsid w:val="00F73A78"/>
    <w:rsid w:val="00F73BEC"/>
    <w:rsid w:val="00F73CF5"/>
    <w:rsid w:val="00F73D3E"/>
    <w:rsid w:val="00F73DE5"/>
    <w:rsid w:val="00F74013"/>
    <w:rsid w:val="00F740B6"/>
    <w:rsid w:val="00F74183"/>
    <w:rsid w:val="00F74366"/>
    <w:rsid w:val="00F745A8"/>
    <w:rsid w:val="00F7477E"/>
    <w:rsid w:val="00F74A02"/>
    <w:rsid w:val="00F74B4C"/>
    <w:rsid w:val="00F74E79"/>
    <w:rsid w:val="00F75373"/>
    <w:rsid w:val="00F75445"/>
    <w:rsid w:val="00F7548C"/>
    <w:rsid w:val="00F75649"/>
    <w:rsid w:val="00F75DED"/>
    <w:rsid w:val="00F75F03"/>
    <w:rsid w:val="00F76097"/>
    <w:rsid w:val="00F761B0"/>
    <w:rsid w:val="00F767E0"/>
    <w:rsid w:val="00F76C9C"/>
    <w:rsid w:val="00F771A7"/>
    <w:rsid w:val="00F77283"/>
    <w:rsid w:val="00F77295"/>
    <w:rsid w:val="00F77339"/>
    <w:rsid w:val="00F778B4"/>
    <w:rsid w:val="00F77904"/>
    <w:rsid w:val="00F7795B"/>
    <w:rsid w:val="00F77DC6"/>
    <w:rsid w:val="00F800C8"/>
    <w:rsid w:val="00F8024B"/>
    <w:rsid w:val="00F803C8"/>
    <w:rsid w:val="00F804D4"/>
    <w:rsid w:val="00F804FF"/>
    <w:rsid w:val="00F80C5C"/>
    <w:rsid w:val="00F80EDD"/>
    <w:rsid w:val="00F81528"/>
    <w:rsid w:val="00F81609"/>
    <w:rsid w:val="00F816E5"/>
    <w:rsid w:val="00F819ED"/>
    <w:rsid w:val="00F81B1C"/>
    <w:rsid w:val="00F81BD8"/>
    <w:rsid w:val="00F81F44"/>
    <w:rsid w:val="00F82055"/>
    <w:rsid w:val="00F820D4"/>
    <w:rsid w:val="00F82407"/>
    <w:rsid w:val="00F8253F"/>
    <w:rsid w:val="00F82658"/>
    <w:rsid w:val="00F829B2"/>
    <w:rsid w:val="00F82BA0"/>
    <w:rsid w:val="00F82C00"/>
    <w:rsid w:val="00F83020"/>
    <w:rsid w:val="00F8314E"/>
    <w:rsid w:val="00F83222"/>
    <w:rsid w:val="00F83997"/>
    <w:rsid w:val="00F83A39"/>
    <w:rsid w:val="00F84422"/>
    <w:rsid w:val="00F84823"/>
    <w:rsid w:val="00F849B0"/>
    <w:rsid w:val="00F84DB4"/>
    <w:rsid w:val="00F84DD4"/>
    <w:rsid w:val="00F85163"/>
    <w:rsid w:val="00F85AA1"/>
    <w:rsid w:val="00F85B42"/>
    <w:rsid w:val="00F85CEA"/>
    <w:rsid w:val="00F85D9F"/>
    <w:rsid w:val="00F86573"/>
    <w:rsid w:val="00F868E0"/>
    <w:rsid w:val="00F86ACE"/>
    <w:rsid w:val="00F870C3"/>
    <w:rsid w:val="00F871DB"/>
    <w:rsid w:val="00F8759F"/>
    <w:rsid w:val="00F87650"/>
    <w:rsid w:val="00F8779F"/>
    <w:rsid w:val="00F87C2B"/>
    <w:rsid w:val="00F900EF"/>
    <w:rsid w:val="00F9015C"/>
    <w:rsid w:val="00F901A9"/>
    <w:rsid w:val="00F9053F"/>
    <w:rsid w:val="00F90651"/>
    <w:rsid w:val="00F910E5"/>
    <w:rsid w:val="00F913EE"/>
    <w:rsid w:val="00F91640"/>
    <w:rsid w:val="00F91A69"/>
    <w:rsid w:val="00F91BDB"/>
    <w:rsid w:val="00F91C55"/>
    <w:rsid w:val="00F91D58"/>
    <w:rsid w:val="00F92042"/>
    <w:rsid w:val="00F9230A"/>
    <w:rsid w:val="00F923CC"/>
    <w:rsid w:val="00F92561"/>
    <w:rsid w:val="00F9256E"/>
    <w:rsid w:val="00F92C61"/>
    <w:rsid w:val="00F92C6E"/>
    <w:rsid w:val="00F93358"/>
    <w:rsid w:val="00F93528"/>
    <w:rsid w:val="00F93800"/>
    <w:rsid w:val="00F93922"/>
    <w:rsid w:val="00F93F48"/>
    <w:rsid w:val="00F93FD0"/>
    <w:rsid w:val="00F93FF2"/>
    <w:rsid w:val="00F94464"/>
    <w:rsid w:val="00F946AF"/>
    <w:rsid w:val="00F94785"/>
    <w:rsid w:val="00F94795"/>
    <w:rsid w:val="00F94AA2"/>
    <w:rsid w:val="00F94AD3"/>
    <w:rsid w:val="00F94BA9"/>
    <w:rsid w:val="00F94E7F"/>
    <w:rsid w:val="00F95049"/>
    <w:rsid w:val="00F95478"/>
    <w:rsid w:val="00F9552B"/>
    <w:rsid w:val="00F9583D"/>
    <w:rsid w:val="00F9593A"/>
    <w:rsid w:val="00F9604E"/>
    <w:rsid w:val="00F96251"/>
    <w:rsid w:val="00F9660B"/>
    <w:rsid w:val="00F96B6C"/>
    <w:rsid w:val="00F96FA5"/>
    <w:rsid w:val="00F971B6"/>
    <w:rsid w:val="00F97288"/>
    <w:rsid w:val="00F974A0"/>
    <w:rsid w:val="00F975C6"/>
    <w:rsid w:val="00F97981"/>
    <w:rsid w:val="00F97A5D"/>
    <w:rsid w:val="00F97AE6"/>
    <w:rsid w:val="00F97C9B"/>
    <w:rsid w:val="00FA0175"/>
    <w:rsid w:val="00FA0682"/>
    <w:rsid w:val="00FA09D8"/>
    <w:rsid w:val="00FA0BD4"/>
    <w:rsid w:val="00FA0BDC"/>
    <w:rsid w:val="00FA0C54"/>
    <w:rsid w:val="00FA0D20"/>
    <w:rsid w:val="00FA0EA7"/>
    <w:rsid w:val="00FA0EE2"/>
    <w:rsid w:val="00FA0FAE"/>
    <w:rsid w:val="00FA1337"/>
    <w:rsid w:val="00FA1620"/>
    <w:rsid w:val="00FA16EC"/>
    <w:rsid w:val="00FA1AEA"/>
    <w:rsid w:val="00FA1CAE"/>
    <w:rsid w:val="00FA1DB3"/>
    <w:rsid w:val="00FA1EBA"/>
    <w:rsid w:val="00FA1ED8"/>
    <w:rsid w:val="00FA22D0"/>
    <w:rsid w:val="00FA27AB"/>
    <w:rsid w:val="00FA2848"/>
    <w:rsid w:val="00FA2EB5"/>
    <w:rsid w:val="00FA2F03"/>
    <w:rsid w:val="00FA3233"/>
    <w:rsid w:val="00FA3399"/>
    <w:rsid w:val="00FA3F2E"/>
    <w:rsid w:val="00FA3FE6"/>
    <w:rsid w:val="00FA466A"/>
    <w:rsid w:val="00FA468A"/>
    <w:rsid w:val="00FA46CE"/>
    <w:rsid w:val="00FA475A"/>
    <w:rsid w:val="00FA48B3"/>
    <w:rsid w:val="00FA4D45"/>
    <w:rsid w:val="00FA532D"/>
    <w:rsid w:val="00FA576B"/>
    <w:rsid w:val="00FA5A73"/>
    <w:rsid w:val="00FA5A97"/>
    <w:rsid w:val="00FA5F38"/>
    <w:rsid w:val="00FA60AC"/>
    <w:rsid w:val="00FA663D"/>
    <w:rsid w:val="00FA665C"/>
    <w:rsid w:val="00FA6881"/>
    <w:rsid w:val="00FA6DE3"/>
    <w:rsid w:val="00FA6F25"/>
    <w:rsid w:val="00FA6F4F"/>
    <w:rsid w:val="00FA7357"/>
    <w:rsid w:val="00FA7C5F"/>
    <w:rsid w:val="00FA7CD2"/>
    <w:rsid w:val="00FA7DDC"/>
    <w:rsid w:val="00FA7E20"/>
    <w:rsid w:val="00FB0483"/>
    <w:rsid w:val="00FB05BB"/>
    <w:rsid w:val="00FB05DB"/>
    <w:rsid w:val="00FB061B"/>
    <w:rsid w:val="00FB089E"/>
    <w:rsid w:val="00FB0BE9"/>
    <w:rsid w:val="00FB0DF5"/>
    <w:rsid w:val="00FB165F"/>
    <w:rsid w:val="00FB1A49"/>
    <w:rsid w:val="00FB1CEE"/>
    <w:rsid w:val="00FB1E52"/>
    <w:rsid w:val="00FB1E86"/>
    <w:rsid w:val="00FB20A6"/>
    <w:rsid w:val="00FB24CB"/>
    <w:rsid w:val="00FB2DA0"/>
    <w:rsid w:val="00FB2DFA"/>
    <w:rsid w:val="00FB3139"/>
    <w:rsid w:val="00FB3222"/>
    <w:rsid w:val="00FB3227"/>
    <w:rsid w:val="00FB342B"/>
    <w:rsid w:val="00FB35F6"/>
    <w:rsid w:val="00FB38B9"/>
    <w:rsid w:val="00FB3DD1"/>
    <w:rsid w:val="00FB412E"/>
    <w:rsid w:val="00FB4458"/>
    <w:rsid w:val="00FB456D"/>
    <w:rsid w:val="00FB48E9"/>
    <w:rsid w:val="00FB49F3"/>
    <w:rsid w:val="00FB4B52"/>
    <w:rsid w:val="00FB5494"/>
    <w:rsid w:val="00FB54DC"/>
    <w:rsid w:val="00FB5981"/>
    <w:rsid w:val="00FB5B8C"/>
    <w:rsid w:val="00FB5C74"/>
    <w:rsid w:val="00FB6259"/>
    <w:rsid w:val="00FB62A0"/>
    <w:rsid w:val="00FB6B19"/>
    <w:rsid w:val="00FB6D2D"/>
    <w:rsid w:val="00FB6D91"/>
    <w:rsid w:val="00FB6F7E"/>
    <w:rsid w:val="00FB727E"/>
    <w:rsid w:val="00FB73AC"/>
    <w:rsid w:val="00FB7664"/>
    <w:rsid w:val="00FB78DC"/>
    <w:rsid w:val="00FB7924"/>
    <w:rsid w:val="00FB7AD0"/>
    <w:rsid w:val="00FB7B83"/>
    <w:rsid w:val="00FB7E4B"/>
    <w:rsid w:val="00FC007F"/>
    <w:rsid w:val="00FC075F"/>
    <w:rsid w:val="00FC0AB3"/>
    <w:rsid w:val="00FC0B02"/>
    <w:rsid w:val="00FC0CBA"/>
    <w:rsid w:val="00FC0D6A"/>
    <w:rsid w:val="00FC1039"/>
    <w:rsid w:val="00FC1056"/>
    <w:rsid w:val="00FC122B"/>
    <w:rsid w:val="00FC1A9D"/>
    <w:rsid w:val="00FC1AC1"/>
    <w:rsid w:val="00FC1D91"/>
    <w:rsid w:val="00FC1F87"/>
    <w:rsid w:val="00FC2192"/>
    <w:rsid w:val="00FC2261"/>
    <w:rsid w:val="00FC26F5"/>
    <w:rsid w:val="00FC29C3"/>
    <w:rsid w:val="00FC366D"/>
    <w:rsid w:val="00FC38CE"/>
    <w:rsid w:val="00FC3A6A"/>
    <w:rsid w:val="00FC3AA3"/>
    <w:rsid w:val="00FC3C5E"/>
    <w:rsid w:val="00FC3D2C"/>
    <w:rsid w:val="00FC3E1B"/>
    <w:rsid w:val="00FC3E7C"/>
    <w:rsid w:val="00FC3F3F"/>
    <w:rsid w:val="00FC4060"/>
    <w:rsid w:val="00FC417B"/>
    <w:rsid w:val="00FC45F5"/>
    <w:rsid w:val="00FC47CD"/>
    <w:rsid w:val="00FC4823"/>
    <w:rsid w:val="00FC48F7"/>
    <w:rsid w:val="00FC49D6"/>
    <w:rsid w:val="00FC4BF4"/>
    <w:rsid w:val="00FC4C31"/>
    <w:rsid w:val="00FC4C81"/>
    <w:rsid w:val="00FC4F85"/>
    <w:rsid w:val="00FC5437"/>
    <w:rsid w:val="00FC5570"/>
    <w:rsid w:val="00FC56D9"/>
    <w:rsid w:val="00FC5759"/>
    <w:rsid w:val="00FC5D2F"/>
    <w:rsid w:val="00FC5E0E"/>
    <w:rsid w:val="00FC62B2"/>
    <w:rsid w:val="00FC6314"/>
    <w:rsid w:val="00FC6327"/>
    <w:rsid w:val="00FC6333"/>
    <w:rsid w:val="00FC6346"/>
    <w:rsid w:val="00FC6442"/>
    <w:rsid w:val="00FC6472"/>
    <w:rsid w:val="00FC65A2"/>
    <w:rsid w:val="00FC66E3"/>
    <w:rsid w:val="00FC6785"/>
    <w:rsid w:val="00FC67B4"/>
    <w:rsid w:val="00FC693C"/>
    <w:rsid w:val="00FC6AA2"/>
    <w:rsid w:val="00FC6E9F"/>
    <w:rsid w:val="00FC73DD"/>
    <w:rsid w:val="00FC75BF"/>
    <w:rsid w:val="00FC7E7B"/>
    <w:rsid w:val="00FC7FB7"/>
    <w:rsid w:val="00FD081F"/>
    <w:rsid w:val="00FD0A64"/>
    <w:rsid w:val="00FD0F94"/>
    <w:rsid w:val="00FD10C2"/>
    <w:rsid w:val="00FD11B7"/>
    <w:rsid w:val="00FD143D"/>
    <w:rsid w:val="00FD146E"/>
    <w:rsid w:val="00FD1531"/>
    <w:rsid w:val="00FD1877"/>
    <w:rsid w:val="00FD1AF1"/>
    <w:rsid w:val="00FD1B7C"/>
    <w:rsid w:val="00FD1BE8"/>
    <w:rsid w:val="00FD1D13"/>
    <w:rsid w:val="00FD1ED0"/>
    <w:rsid w:val="00FD1F59"/>
    <w:rsid w:val="00FD2077"/>
    <w:rsid w:val="00FD27AF"/>
    <w:rsid w:val="00FD288E"/>
    <w:rsid w:val="00FD2970"/>
    <w:rsid w:val="00FD29B8"/>
    <w:rsid w:val="00FD2C29"/>
    <w:rsid w:val="00FD2D69"/>
    <w:rsid w:val="00FD3266"/>
    <w:rsid w:val="00FD32BD"/>
    <w:rsid w:val="00FD333C"/>
    <w:rsid w:val="00FD3711"/>
    <w:rsid w:val="00FD3B2C"/>
    <w:rsid w:val="00FD4930"/>
    <w:rsid w:val="00FD5849"/>
    <w:rsid w:val="00FD59D3"/>
    <w:rsid w:val="00FD5EC2"/>
    <w:rsid w:val="00FD65D4"/>
    <w:rsid w:val="00FD69A3"/>
    <w:rsid w:val="00FD6A8C"/>
    <w:rsid w:val="00FD6CA0"/>
    <w:rsid w:val="00FD6CB9"/>
    <w:rsid w:val="00FD6D75"/>
    <w:rsid w:val="00FD6E5D"/>
    <w:rsid w:val="00FD748B"/>
    <w:rsid w:val="00FE0088"/>
    <w:rsid w:val="00FE0326"/>
    <w:rsid w:val="00FE03C3"/>
    <w:rsid w:val="00FE0550"/>
    <w:rsid w:val="00FE0729"/>
    <w:rsid w:val="00FE0E3F"/>
    <w:rsid w:val="00FE0FF6"/>
    <w:rsid w:val="00FE1409"/>
    <w:rsid w:val="00FE1815"/>
    <w:rsid w:val="00FE1954"/>
    <w:rsid w:val="00FE196F"/>
    <w:rsid w:val="00FE1B23"/>
    <w:rsid w:val="00FE1C5D"/>
    <w:rsid w:val="00FE1CD7"/>
    <w:rsid w:val="00FE25A4"/>
    <w:rsid w:val="00FE28A7"/>
    <w:rsid w:val="00FE2BB3"/>
    <w:rsid w:val="00FE2D12"/>
    <w:rsid w:val="00FE335A"/>
    <w:rsid w:val="00FE3532"/>
    <w:rsid w:val="00FE399E"/>
    <w:rsid w:val="00FE3A5A"/>
    <w:rsid w:val="00FE3CCC"/>
    <w:rsid w:val="00FE4085"/>
    <w:rsid w:val="00FE4224"/>
    <w:rsid w:val="00FE43E5"/>
    <w:rsid w:val="00FE4419"/>
    <w:rsid w:val="00FE4859"/>
    <w:rsid w:val="00FE4D4E"/>
    <w:rsid w:val="00FE52FB"/>
    <w:rsid w:val="00FE5312"/>
    <w:rsid w:val="00FE54C0"/>
    <w:rsid w:val="00FE5626"/>
    <w:rsid w:val="00FE5739"/>
    <w:rsid w:val="00FE59E6"/>
    <w:rsid w:val="00FE5AE7"/>
    <w:rsid w:val="00FE5B40"/>
    <w:rsid w:val="00FE5BAE"/>
    <w:rsid w:val="00FE6234"/>
    <w:rsid w:val="00FE6B9E"/>
    <w:rsid w:val="00FE6DAA"/>
    <w:rsid w:val="00FE7268"/>
    <w:rsid w:val="00FE74B1"/>
    <w:rsid w:val="00FE7712"/>
    <w:rsid w:val="00FE77F4"/>
    <w:rsid w:val="00FE7958"/>
    <w:rsid w:val="00FE7999"/>
    <w:rsid w:val="00FE7B16"/>
    <w:rsid w:val="00FE7B83"/>
    <w:rsid w:val="00FE7C9E"/>
    <w:rsid w:val="00FE7D5E"/>
    <w:rsid w:val="00FF0384"/>
    <w:rsid w:val="00FF03EE"/>
    <w:rsid w:val="00FF0463"/>
    <w:rsid w:val="00FF0604"/>
    <w:rsid w:val="00FF06D3"/>
    <w:rsid w:val="00FF09C1"/>
    <w:rsid w:val="00FF0BBB"/>
    <w:rsid w:val="00FF0CE3"/>
    <w:rsid w:val="00FF0ED9"/>
    <w:rsid w:val="00FF0F7B"/>
    <w:rsid w:val="00FF13A4"/>
    <w:rsid w:val="00FF180D"/>
    <w:rsid w:val="00FF1886"/>
    <w:rsid w:val="00FF18ED"/>
    <w:rsid w:val="00FF1919"/>
    <w:rsid w:val="00FF19EA"/>
    <w:rsid w:val="00FF1CD2"/>
    <w:rsid w:val="00FF1F46"/>
    <w:rsid w:val="00FF20AA"/>
    <w:rsid w:val="00FF220E"/>
    <w:rsid w:val="00FF231E"/>
    <w:rsid w:val="00FF23B9"/>
    <w:rsid w:val="00FF25BF"/>
    <w:rsid w:val="00FF265C"/>
    <w:rsid w:val="00FF272A"/>
    <w:rsid w:val="00FF2B0B"/>
    <w:rsid w:val="00FF2B32"/>
    <w:rsid w:val="00FF2B52"/>
    <w:rsid w:val="00FF2CA2"/>
    <w:rsid w:val="00FF2D11"/>
    <w:rsid w:val="00FF2D31"/>
    <w:rsid w:val="00FF2D75"/>
    <w:rsid w:val="00FF2FC2"/>
    <w:rsid w:val="00FF38DC"/>
    <w:rsid w:val="00FF3924"/>
    <w:rsid w:val="00FF3AE7"/>
    <w:rsid w:val="00FF3BAC"/>
    <w:rsid w:val="00FF48B7"/>
    <w:rsid w:val="00FF4C6C"/>
    <w:rsid w:val="00FF51F9"/>
    <w:rsid w:val="00FF5552"/>
    <w:rsid w:val="00FF5782"/>
    <w:rsid w:val="00FF5995"/>
    <w:rsid w:val="00FF5C56"/>
    <w:rsid w:val="00FF5C81"/>
    <w:rsid w:val="00FF5D73"/>
    <w:rsid w:val="00FF6052"/>
    <w:rsid w:val="00FF6105"/>
    <w:rsid w:val="00FF68D5"/>
    <w:rsid w:val="00FF69B0"/>
    <w:rsid w:val="00FF6F4D"/>
    <w:rsid w:val="00FF71C9"/>
    <w:rsid w:val="00FF71FF"/>
    <w:rsid w:val="00FF7653"/>
    <w:rsid w:val="00FF7699"/>
    <w:rsid w:val="00FF7755"/>
    <w:rsid w:val="00FF7B10"/>
    <w:rsid w:val="00FF7C23"/>
    <w:rsid w:val="00FF7EA7"/>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296CE"/>
  <w15:docId w15:val="{0F1EB5DD-BFCA-4386-80E8-0BB4BE14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EA7"/>
    <w:rPr>
      <w:sz w:val="24"/>
      <w:szCs w:val="24"/>
      <w:lang w:val="en-US" w:eastAsia="en-US"/>
    </w:rPr>
  </w:style>
  <w:style w:type="paragraph" w:styleId="Heading1">
    <w:name w:val="heading 1"/>
    <w:basedOn w:val="Normal"/>
    <w:next w:val="Normal"/>
    <w:qFormat/>
    <w:rsid w:val="003A366E"/>
    <w:pPr>
      <w:spacing w:before="240"/>
      <w:outlineLvl w:val="0"/>
    </w:pPr>
    <w:rPr>
      <w:rFonts w:ascii="Arial" w:hAnsi="Arial"/>
      <w:b/>
      <w:szCs w:val="20"/>
      <w:u w:val="single"/>
    </w:rPr>
  </w:style>
  <w:style w:type="paragraph" w:styleId="Heading2">
    <w:name w:val="heading 2"/>
    <w:basedOn w:val="Normal"/>
    <w:next w:val="Normal"/>
    <w:qFormat/>
    <w:rsid w:val="003A366E"/>
    <w:pPr>
      <w:spacing w:before="120"/>
      <w:outlineLvl w:val="1"/>
    </w:pPr>
    <w:rPr>
      <w:rFonts w:ascii="Arial" w:hAnsi="Arial"/>
      <w:b/>
      <w:szCs w:val="20"/>
    </w:rPr>
  </w:style>
  <w:style w:type="paragraph" w:styleId="Heading3">
    <w:name w:val="heading 3"/>
    <w:basedOn w:val="Normal"/>
    <w:next w:val="NormalIndent"/>
    <w:qFormat/>
    <w:rsid w:val="003A366E"/>
    <w:pPr>
      <w:ind w:left="360"/>
      <w:outlineLvl w:val="2"/>
    </w:pPr>
    <w:rPr>
      <w:b/>
      <w:szCs w:val="20"/>
    </w:rPr>
  </w:style>
  <w:style w:type="paragraph" w:styleId="Heading4">
    <w:name w:val="heading 4"/>
    <w:basedOn w:val="Normal"/>
    <w:next w:val="NormalIndent"/>
    <w:qFormat/>
    <w:rsid w:val="003A366E"/>
    <w:pPr>
      <w:ind w:left="360"/>
      <w:outlineLvl w:val="3"/>
    </w:pPr>
    <w:rPr>
      <w:szCs w:val="20"/>
      <w:u w:val="single"/>
    </w:rPr>
  </w:style>
  <w:style w:type="paragraph" w:styleId="Heading5">
    <w:name w:val="heading 5"/>
    <w:basedOn w:val="Normal"/>
    <w:next w:val="Normal"/>
    <w:link w:val="Heading5Char"/>
    <w:semiHidden/>
    <w:unhideWhenUsed/>
    <w:qFormat/>
    <w:rsid w:val="007C7031"/>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3C00"/>
    <w:pPr>
      <w:widowControl w:val="0"/>
      <w:autoSpaceDE w:val="0"/>
      <w:autoSpaceDN w:val="0"/>
      <w:adjustRightInd w:val="0"/>
    </w:pPr>
    <w:rPr>
      <w:rFonts w:ascii="Times Roman" w:hAnsi="Times Roman"/>
    </w:rPr>
  </w:style>
  <w:style w:type="character" w:styleId="EndnoteReference">
    <w:name w:val="endnote reference"/>
    <w:semiHidden/>
    <w:rsid w:val="004B3C00"/>
    <w:rPr>
      <w:vertAlign w:val="superscript"/>
    </w:rPr>
  </w:style>
  <w:style w:type="paragraph" w:styleId="FootnoteText">
    <w:name w:val="footnote text"/>
    <w:basedOn w:val="Normal"/>
    <w:link w:val="FootnoteTextChar"/>
    <w:uiPriority w:val="99"/>
    <w:semiHidden/>
    <w:rsid w:val="004B3C00"/>
    <w:pPr>
      <w:widowControl w:val="0"/>
      <w:autoSpaceDE w:val="0"/>
      <w:autoSpaceDN w:val="0"/>
      <w:adjustRightInd w:val="0"/>
    </w:pPr>
    <w:rPr>
      <w:rFonts w:ascii="Times Roman" w:hAnsi="Times Roman"/>
    </w:rPr>
  </w:style>
  <w:style w:type="character" w:styleId="FootnoteReference">
    <w:name w:val="footnote reference"/>
    <w:uiPriority w:val="99"/>
    <w:semiHidden/>
    <w:rsid w:val="004B3C00"/>
    <w:rPr>
      <w:vertAlign w:val="superscript"/>
    </w:rPr>
  </w:style>
  <w:style w:type="paragraph" w:styleId="TOC1">
    <w:name w:val="toc 1"/>
    <w:basedOn w:val="Normal"/>
    <w:next w:val="Normal"/>
    <w:autoRedefine/>
    <w:semiHidden/>
    <w:rsid w:val="004B3C00"/>
    <w:pPr>
      <w:widowControl w:val="0"/>
      <w:tabs>
        <w:tab w:val="right" w:leader="dot" w:pos="9360"/>
      </w:tabs>
      <w:suppressAutoHyphens/>
      <w:autoSpaceDE w:val="0"/>
      <w:autoSpaceDN w:val="0"/>
      <w:adjustRightInd w:val="0"/>
      <w:spacing w:before="480" w:line="240" w:lineRule="atLeast"/>
      <w:ind w:left="720" w:right="720" w:hanging="720"/>
    </w:pPr>
    <w:rPr>
      <w:rFonts w:ascii="Times Roman" w:hAnsi="Times Roman"/>
      <w:sz w:val="22"/>
      <w:szCs w:val="22"/>
    </w:rPr>
  </w:style>
  <w:style w:type="paragraph" w:styleId="TOC2">
    <w:name w:val="toc 2"/>
    <w:basedOn w:val="Normal"/>
    <w:next w:val="Normal"/>
    <w:autoRedefine/>
    <w:semiHidden/>
    <w:rsid w:val="004B3C00"/>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4B3C00"/>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4B3C00"/>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4B3C00"/>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4B3C00"/>
    <w:pPr>
      <w:tabs>
        <w:tab w:val="right" w:pos="9360"/>
      </w:tabs>
      <w:suppressAutoHyphens/>
      <w:spacing w:line="240" w:lineRule="atLeast"/>
      <w:ind w:left="720" w:hanging="720"/>
    </w:pPr>
  </w:style>
  <w:style w:type="paragraph" w:styleId="TOC7">
    <w:name w:val="toc 7"/>
    <w:basedOn w:val="Normal"/>
    <w:next w:val="Normal"/>
    <w:autoRedefine/>
    <w:semiHidden/>
    <w:rsid w:val="004B3C00"/>
    <w:pPr>
      <w:suppressAutoHyphens/>
      <w:spacing w:line="240" w:lineRule="atLeast"/>
      <w:ind w:left="720" w:hanging="720"/>
    </w:pPr>
  </w:style>
  <w:style w:type="paragraph" w:styleId="TOC8">
    <w:name w:val="toc 8"/>
    <w:basedOn w:val="Normal"/>
    <w:next w:val="Normal"/>
    <w:autoRedefine/>
    <w:semiHidden/>
    <w:rsid w:val="004B3C00"/>
    <w:pPr>
      <w:tabs>
        <w:tab w:val="right" w:pos="9360"/>
      </w:tabs>
      <w:suppressAutoHyphens/>
      <w:spacing w:line="240" w:lineRule="atLeast"/>
      <w:ind w:left="720" w:hanging="720"/>
    </w:pPr>
  </w:style>
  <w:style w:type="paragraph" w:styleId="TOC9">
    <w:name w:val="toc 9"/>
    <w:basedOn w:val="Normal"/>
    <w:next w:val="Normal"/>
    <w:autoRedefine/>
    <w:semiHidden/>
    <w:rsid w:val="004B3C00"/>
    <w:pPr>
      <w:tabs>
        <w:tab w:val="right" w:leader="dot" w:pos="9360"/>
      </w:tabs>
      <w:suppressAutoHyphens/>
      <w:spacing w:line="240" w:lineRule="atLeast"/>
      <w:ind w:left="720" w:hanging="720"/>
    </w:pPr>
  </w:style>
  <w:style w:type="paragraph" w:styleId="Index1">
    <w:name w:val="index 1"/>
    <w:basedOn w:val="Normal"/>
    <w:next w:val="Normal"/>
    <w:autoRedefine/>
    <w:semiHidden/>
    <w:rsid w:val="004B3C00"/>
    <w:pPr>
      <w:widowControl w:val="0"/>
      <w:tabs>
        <w:tab w:val="right" w:leader="dot" w:pos="9360"/>
      </w:tabs>
      <w:suppressAutoHyphens/>
      <w:autoSpaceDE w:val="0"/>
      <w:autoSpaceDN w:val="0"/>
      <w:adjustRightInd w:val="0"/>
      <w:spacing w:line="240" w:lineRule="atLeast"/>
      <w:ind w:left="1440" w:right="720" w:hanging="1440"/>
    </w:pPr>
    <w:rPr>
      <w:rFonts w:ascii="Times Roman" w:hAnsi="Times Roman"/>
      <w:sz w:val="22"/>
      <w:szCs w:val="22"/>
    </w:rPr>
  </w:style>
  <w:style w:type="paragraph" w:styleId="Index2">
    <w:name w:val="index 2"/>
    <w:basedOn w:val="Normal"/>
    <w:next w:val="Normal"/>
    <w:autoRedefine/>
    <w:semiHidden/>
    <w:rsid w:val="004B3C00"/>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4B3C00"/>
    <w:pPr>
      <w:tabs>
        <w:tab w:val="right" w:pos="9360"/>
      </w:tabs>
      <w:suppressAutoHyphens/>
      <w:spacing w:line="240" w:lineRule="atLeast"/>
    </w:pPr>
  </w:style>
  <w:style w:type="paragraph" w:styleId="Caption">
    <w:name w:val="caption"/>
    <w:basedOn w:val="Normal"/>
    <w:next w:val="Normal"/>
    <w:qFormat/>
    <w:rsid w:val="004B3C00"/>
    <w:pPr>
      <w:widowControl w:val="0"/>
      <w:autoSpaceDE w:val="0"/>
      <w:autoSpaceDN w:val="0"/>
      <w:adjustRightInd w:val="0"/>
    </w:pPr>
    <w:rPr>
      <w:rFonts w:ascii="Times Roman" w:hAnsi="Times Roman"/>
    </w:rPr>
  </w:style>
  <w:style w:type="character" w:customStyle="1" w:styleId="EquationCaption">
    <w:name w:val="_Equation Caption"/>
    <w:rsid w:val="004B3C00"/>
  </w:style>
  <w:style w:type="paragraph" w:styleId="Footer">
    <w:name w:val="footer"/>
    <w:basedOn w:val="Normal"/>
    <w:link w:val="FooterChar"/>
    <w:uiPriority w:val="99"/>
    <w:rsid w:val="00015C1E"/>
    <w:pPr>
      <w:tabs>
        <w:tab w:val="center" w:pos="4320"/>
        <w:tab w:val="right" w:pos="8640"/>
      </w:tabs>
    </w:pPr>
    <w:rPr>
      <w:rFonts w:ascii="Courier" w:hAnsi="Courier"/>
      <w:szCs w:val="20"/>
    </w:rPr>
  </w:style>
  <w:style w:type="paragraph" w:styleId="Header">
    <w:name w:val="header"/>
    <w:basedOn w:val="Normal"/>
    <w:link w:val="HeaderChar"/>
    <w:uiPriority w:val="99"/>
    <w:rsid w:val="003A366E"/>
    <w:pPr>
      <w:tabs>
        <w:tab w:val="center" w:pos="4320"/>
        <w:tab w:val="right" w:pos="8640"/>
      </w:tabs>
    </w:pPr>
    <w:rPr>
      <w:rFonts w:ascii="Courier" w:hAnsi="Courier"/>
      <w:szCs w:val="20"/>
    </w:rPr>
  </w:style>
  <w:style w:type="character" w:styleId="PageNumber">
    <w:name w:val="page number"/>
    <w:basedOn w:val="DefaultParagraphFont"/>
    <w:rsid w:val="003A366E"/>
  </w:style>
  <w:style w:type="paragraph" w:styleId="BodyText">
    <w:name w:val="Body Text"/>
    <w:basedOn w:val="Normal"/>
    <w:rsid w:val="003A366E"/>
    <w:rPr>
      <w:szCs w:val="20"/>
    </w:rPr>
  </w:style>
  <w:style w:type="paragraph" w:styleId="NormalIndent">
    <w:name w:val="Normal Indent"/>
    <w:basedOn w:val="Normal"/>
    <w:rsid w:val="003A366E"/>
    <w:pPr>
      <w:widowControl w:val="0"/>
      <w:autoSpaceDE w:val="0"/>
      <w:autoSpaceDN w:val="0"/>
      <w:adjustRightInd w:val="0"/>
      <w:ind w:left="720"/>
    </w:pPr>
    <w:rPr>
      <w:rFonts w:ascii="Times Roman" w:hAnsi="Times Roman"/>
      <w:sz w:val="22"/>
      <w:szCs w:val="22"/>
    </w:rPr>
  </w:style>
  <w:style w:type="paragraph" w:styleId="HTMLPreformatted">
    <w:name w:val="HTML Preformatted"/>
    <w:basedOn w:val="Normal"/>
    <w:rsid w:val="00C6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link w:val="NormalWebChar"/>
    <w:uiPriority w:val="99"/>
    <w:rsid w:val="00E0630F"/>
    <w:pPr>
      <w:spacing w:before="100" w:beforeAutospacing="1" w:after="100" w:afterAutospacing="1"/>
    </w:pPr>
  </w:style>
  <w:style w:type="paragraph" w:styleId="BodyText2">
    <w:name w:val="Body Text 2"/>
    <w:basedOn w:val="Normal"/>
    <w:rsid w:val="006C09B9"/>
    <w:pPr>
      <w:widowControl w:val="0"/>
      <w:autoSpaceDE w:val="0"/>
      <w:autoSpaceDN w:val="0"/>
      <w:adjustRightInd w:val="0"/>
      <w:spacing w:after="120" w:line="480" w:lineRule="auto"/>
    </w:pPr>
    <w:rPr>
      <w:rFonts w:ascii="Times Roman" w:hAnsi="Times Roman"/>
      <w:sz w:val="22"/>
      <w:szCs w:val="22"/>
    </w:rPr>
  </w:style>
  <w:style w:type="paragraph" w:styleId="BodyTextIndent2">
    <w:name w:val="Body Text Indent 2"/>
    <w:basedOn w:val="Normal"/>
    <w:rsid w:val="006C09B9"/>
    <w:pPr>
      <w:widowControl w:val="0"/>
      <w:autoSpaceDE w:val="0"/>
      <w:autoSpaceDN w:val="0"/>
      <w:adjustRightInd w:val="0"/>
      <w:spacing w:after="120" w:line="480" w:lineRule="auto"/>
      <w:ind w:left="360"/>
    </w:pPr>
    <w:rPr>
      <w:rFonts w:ascii="Times Roman" w:hAnsi="Times Roman"/>
      <w:sz w:val="22"/>
      <w:szCs w:val="22"/>
    </w:rPr>
  </w:style>
  <w:style w:type="paragraph" w:styleId="BodyTextIndent">
    <w:name w:val="Body Text Indent"/>
    <w:basedOn w:val="Normal"/>
    <w:rsid w:val="00CB50C3"/>
    <w:pPr>
      <w:widowControl w:val="0"/>
      <w:autoSpaceDE w:val="0"/>
      <w:autoSpaceDN w:val="0"/>
      <w:adjustRightInd w:val="0"/>
      <w:spacing w:after="120"/>
      <w:ind w:left="360"/>
    </w:pPr>
    <w:rPr>
      <w:rFonts w:ascii="Times Roman" w:hAnsi="Times Roman"/>
      <w:sz w:val="22"/>
      <w:szCs w:val="22"/>
    </w:rPr>
  </w:style>
  <w:style w:type="character" w:styleId="CommentReference">
    <w:name w:val="annotation reference"/>
    <w:uiPriority w:val="99"/>
    <w:semiHidden/>
    <w:rsid w:val="00C50D43"/>
    <w:rPr>
      <w:sz w:val="16"/>
      <w:szCs w:val="16"/>
    </w:rPr>
  </w:style>
  <w:style w:type="paragraph" w:styleId="CommentText">
    <w:name w:val="annotation text"/>
    <w:basedOn w:val="Normal"/>
    <w:link w:val="CommentTextChar"/>
    <w:uiPriority w:val="99"/>
    <w:semiHidden/>
    <w:rsid w:val="00C50D43"/>
    <w:pPr>
      <w:widowControl w:val="0"/>
      <w:autoSpaceDE w:val="0"/>
      <w:autoSpaceDN w:val="0"/>
      <w:adjustRightInd w:val="0"/>
    </w:pPr>
    <w:rPr>
      <w:rFonts w:ascii="Times Roman" w:hAnsi="Times Roman"/>
      <w:sz w:val="20"/>
      <w:szCs w:val="20"/>
    </w:rPr>
  </w:style>
  <w:style w:type="paragraph" w:styleId="CommentSubject">
    <w:name w:val="annotation subject"/>
    <w:basedOn w:val="CommentText"/>
    <w:next w:val="CommentText"/>
    <w:semiHidden/>
    <w:rsid w:val="00C50D43"/>
    <w:rPr>
      <w:b/>
      <w:bCs/>
    </w:rPr>
  </w:style>
  <w:style w:type="paragraph" w:styleId="BalloonText">
    <w:name w:val="Balloon Text"/>
    <w:basedOn w:val="Normal"/>
    <w:semiHidden/>
    <w:rsid w:val="00C50D43"/>
    <w:pPr>
      <w:widowControl w:val="0"/>
      <w:autoSpaceDE w:val="0"/>
      <w:autoSpaceDN w:val="0"/>
      <w:adjustRightInd w:val="0"/>
    </w:pPr>
    <w:rPr>
      <w:rFonts w:ascii="Tahoma" w:hAnsi="Tahoma" w:cs="Tahoma"/>
      <w:sz w:val="16"/>
      <w:szCs w:val="16"/>
    </w:rPr>
  </w:style>
  <w:style w:type="table" w:styleId="TableGrid">
    <w:name w:val="Table Grid"/>
    <w:basedOn w:val="TableNormal"/>
    <w:rsid w:val="0049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ext">
    <w:name w:val="btext"/>
    <w:basedOn w:val="Normal"/>
    <w:rsid w:val="00620F5B"/>
    <w:pPr>
      <w:spacing w:before="100" w:beforeAutospacing="1" w:after="100" w:afterAutospacing="1"/>
    </w:pPr>
    <w:rPr>
      <w:rFonts w:ascii="Arial" w:hAnsi="Arial" w:cs="Arial"/>
      <w:sz w:val="20"/>
      <w:szCs w:val="20"/>
    </w:rPr>
  </w:style>
  <w:style w:type="character" w:styleId="Hyperlink">
    <w:name w:val="Hyperlink"/>
    <w:uiPriority w:val="99"/>
    <w:rsid w:val="00B751E1"/>
    <w:rPr>
      <w:color w:val="0000FF"/>
      <w:u w:val="single"/>
    </w:rPr>
  </w:style>
  <w:style w:type="character" w:styleId="Emphasis">
    <w:name w:val="Emphasis"/>
    <w:qFormat/>
    <w:rsid w:val="00B55B4D"/>
    <w:rPr>
      <w:i/>
      <w:iCs/>
    </w:rPr>
  </w:style>
  <w:style w:type="character" w:styleId="Strong">
    <w:name w:val="Strong"/>
    <w:uiPriority w:val="22"/>
    <w:qFormat/>
    <w:rsid w:val="003B201D"/>
    <w:rPr>
      <w:b/>
      <w:bCs/>
    </w:rPr>
  </w:style>
  <w:style w:type="character" w:customStyle="1" w:styleId="DeltaViewInsertion">
    <w:name w:val="DeltaView Insertion"/>
    <w:rsid w:val="00C21735"/>
    <w:rPr>
      <w:b/>
      <w:bCs/>
      <w:color w:val="191919"/>
      <w:spacing w:val="0"/>
      <w:u w:val="double"/>
    </w:rPr>
  </w:style>
  <w:style w:type="character" w:customStyle="1" w:styleId="Heading5Char">
    <w:name w:val="Heading 5 Char"/>
    <w:link w:val="Heading5"/>
    <w:semiHidden/>
    <w:rsid w:val="007C7031"/>
    <w:rPr>
      <w:rFonts w:ascii="Cambria" w:eastAsia="Times New Roman" w:hAnsi="Cambria" w:cs="Times New Roman"/>
      <w:color w:val="243F60"/>
      <w:sz w:val="22"/>
      <w:szCs w:val="22"/>
    </w:rPr>
  </w:style>
  <w:style w:type="character" w:customStyle="1" w:styleId="NormalWebChar">
    <w:name w:val="Normal (Web) Char"/>
    <w:link w:val="NormalWeb"/>
    <w:uiPriority w:val="99"/>
    <w:rsid w:val="002B12CD"/>
    <w:rPr>
      <w:sz w:val="24"/>
      <w:szCs w:val="24"/>
    </w:rPr>
  </w:style>
  <w:style w:type="paragraph" w:customStyle="1" w:styleId="10-K">
    <w:name w:val="10-K"/>
    <w:basedOn w:val="NormalWeb"/>
    <w:link w:val="10-KChar"/>
    <w:qFormat/>
    <w:rsid w:val="002B12CD"/>
    <w:pPr>
      <w:spacing w:before="180" w:beforeAutospacing="0" w:after="0" w:afterAutospacing="0"/>
      <w:ind w:firstLine="720"/>
      <w:jc w:val="both"/>
    </w:pPr>
    <w:rPr>
      <w:sz w:val="22"/>
      <w:szCs w:val="22"/>
    </w:rPr>
  </w:style>
  <w:style w:type="character" w:customStyle="1" w:styleId="10-KChar">
    <w:name w:val="10-K Char"/>
    <w:link w:val="10-K"/>
    <w:rsid w:val="002B12CD"/>
    <w:rPr>
      <w:sz w:val="22"/>
      <w:szCs w:val="22"/>
    </w:rPr>
  </w:style>
  <w:style w:type="paragraph" w:styleId="ListParagraph">
    <w:name w:val="List Paragraph"/>
    <w:basedOn w:val="Normal"/>
    <w:uiPriority w:val="34"/>
    <w:qFormat/>
    <w:rsid w:val="00B02260"/>
    <w:pPr>
      <w:widowControl w:val="0"/>
      <w:autoSpaceDE w:val="0"/>
      <w:autoSpaceDN w:val="0"/>
      <w:adjustRightInd w:val="0"/>
      <w:ind w:left="720"/>
      <w:contextualSpacing/>
    </w:pPr>
    <w:rPr>
      <w:rFonts w:ascii="Times Roman" w:hAnsi="Times Roman"/>
      <w:sz w:val="22"/>
      <w:szCs w:val="22"/>
    </w:rPr>
  </w:style>
  <w:style w:type="character" w:customStyle="1" w:styleId="st">
    <w:name w:val="st"/>
    <w:basedOn w:val="DefaultParagraphFont"/>
    <w:rsid w:val="00D1152E"/>
  </w:style>
  <w:style w:type="paragraph" w:styleId="Revision">
    <w:name w:val="Revision"/>
    <w:hidden/>
    <w:uiPriority w:val="99"/>
    <w:semiHidden/>
    <w:rsid w:val="00D34406"/>
    <w:rPr>
      <w:rFonts w:ascii="Times Roman" w:hAnsi="Times Roman"/>
      <w:sz w:val="22"/>
      <w:szCs w:val="22"/>
      <w:lang w:val="en-US" w:eastAsia="en-US"/>
    </w:rPr>
  </w:style>
  <w:style w:type="character" w:customStyle="1" w:styleId="FootnoteTextChar">
    <w:name w:val="Footnote Text Char"/>
    <w:link w:val="FootnoteText"/>
    <w:uiPriority w:val="99"/>
    <w:semiHidden/>
    <w:rsid w:val="007420A6"/>
    <w:rPr>
      <w:rFonts w:ascii="Times Roman" w:hAnsi="Times Roman"/>
      <w:sz w:val="24"/>
      <w:szCs w:val="24"/>
    </w:rPr>
  </w:style>
  <w:style w:type="character" w:customStyle="1" w:styleId="apple-converted-space">
    <w:name w:val="apple-converted-space"/>
    <w:basedOn w:val="DefaultParagraphFont"/>
    <w:rsid w:val="005D4D64"/>
  </w:style>
  <w:style w:type="character" w:customStyle="1" w:styleId="FooterChar">
    <w:name w:val="Footer Char"/>
    <w:link w:val="Footer"/>
    <w:uiPriority w:val="99"/>
    <w:rsid w:val="00A124AF"/>
    <w:rPr>
      <w:rFonts w:ascii="Courier" w:hAnsi="Courier"/>
      <w:sz w:val="24"/>
    </w:rPr>
  </w:style>
  <w:style w:type="paragraph" w:customStyle="1" w:styleId="PAParaText">
    <w:name w:val="PA_ParaText"/>
    <w:basedOn w:val="Normal"/>
    <w:rsid w:val="00A37DED"/>
    <w:pPr>
      <w:spacing w:after="120"/>
      <w:jc w:val="both"/>
    </w:pPr>
    <w:rPr>
      <w:rFonts w:ascii="Arial" w:eastAsia="SimSun" w:hAnsi="Arial"/>
      <w:sz w:val="20"/>
      <w:szCs w:val="20"/>
      <w:lang w:eastAsia="zh-CN"/>
    </w:rPr>
  </w:style>
  <w:style w:type="paragraph" w:customStyle="1" w:styleId="PACellText">
    <w:name w:val="PA_CellText"/>
    <w:basedOn w:val="PAParaText"/>
    <w:rsid w:val="00A37DED"/>
    <w:pPr>
      <w:spacing w:after="0"/>
      <w:jc w:val="left"/>
    </w:pPr>
  </w:style>
  <w:style w:type="paragraph" w:customStyle="1" w:styleId="Style4">
    <w:name w:val="Style4"/>
    <w:basedOn w:val="Normal"/>
    <w:link w:val="Style4Char"/>
    <w:qFormat/>
    <w:rsid w:val="0035763B"/>
    <w:pPr>
      <w:widowControl w:val="0"/>
      <w:autoSpaceDE w:val="0"/>
      <w:autoSpaceDN w:val="0"/>
      <w:adjustRightInd w:val="0"/>
      <w:spacing w:before="120" w:after="120"/>
    </w:pPr>
    <w:rPr>
      <w:color w:val="000000"/>
      <w:sz w:val="22"/>
      <w:szCs w:val="22"/>
      <w:lang w:bidi="he-IL"/>
    </w:rPr>
  </w:style>
  <w:style w:type="character" w:customStyle="1" w:styleId="Style4Char">
    <w:name w:val="Style4 Char"/>
    <w:link w:val="Style4"/>
    <w:rsid w:val="0035763B"/>
    <w:rPr>
      <w:rFonts w:ascii="Times New Roman" w:eastAsia="Times New Roman" w:hAnsi="Times New Roman" w:cs="Times New Roman"/>
      <w:color w:val="000000"/>
      <w:sz w:val="22"/>
      <w:szCs w:val="22"/>
      <w:lang w:bidi="he-IL"/>
    </w:rPr>
  </w:style>
  <w:style w:type="character" w:customStyle="1" w:styleId="CommentTextChar">
    <w:name w:val="Comment Text Char"/>
    <w:link w:val="CommentText"/>
    <w:uiPriority w:val="99"/>
    <w:semiHidden/>
    <w:rsid w:val="00333528"/>
    <w:rPr>
      <w:rFonts w:ascii="Times Roman" w:hAnsi="Times Roman"/>
    </w:rPr>
  </w:style>
  <w:style w:type="character" w:customStyle="1" w:styleId="highlight">
    <w:name w:val="highlight"/>
    <w:rsid w:val="00A81DCD"/>
  </w:style>
  <w:style w:type="character" w:customStyle="1" w:styleId="UnresolvedMention1">
    <w:name w:val="Unresolved Mention1"/>
    <w:uiPriority w:val="99"/>
    <w:semiHidden/>
    <w:unhideWhenUsed/>
    <w:rsid w:val="00BD6089"/>
    <w:rPr>
      <w:color w:val="605E5C"/>
      <w:shd w:val="clear" w:color="auto" w:fill="E1DFDD"/>
    </w:rPr>
  </w:style>
  <w:style w:type="paragraph" w:styleId="NoSpacing">
    <w:name w:val="No Spacing"/>
    <w:uiPriority w:val="1"/>
    <w:qFormat/>
    <w:rsid w:val="00544339"/>
    <w:rPr>
      <w:rFonts w:ascii="Calibri" w:eastAsia="Calibri" w:hAnsi="Calibri"/>
      <w:sz w:val="22"/>
      <w:szCs w:val="22"/>
      <w:lang w:val="en-US" w:eastAsia="en-US"/>
    </w:rPr>
  </w:style>
  <w:style w:type="character" w:styleId="FollowedHyperlink">
    <w:name w:val="FollowedHyperlink"/>
    <w:basedOn w:val="DefaultParagraphFont"/>
    <w:semiHidden/>
    <w:unhideWhenUsed/>
    <w:rsid w:val="00FE2BB3"/>
    <w:rPr>
      <w:color w:val="954F72" w:themeColor="followedHyperlink"/>
      <w:u w:val="single"/>
    </w:rPr>
  </w:style>
  <w:style w:type="character" w:customStyle="1" w:styleId="HeaderChar">
    <w:name w:val="Header Char"/>
    <w:basedOn w:val="DefaultParagraphFont"/>
    <w:link w:val="Header"/>
    <w:uiPriority w:val="99"/>
    <w:rsid w:val="00437919"/>
    <w:rPr>
      <w:rFonts w:ascii="Courier" w:hAnsi="Courier"/>
      <w:sz w:val="24"/>
      <w:lang w:val="en-US" w:eastAsia="en-US"/>
    </w:rPr>
  </w:style>
  <w:style w:type="paragraph" w:customStyle="1" w:styleId="Hangone">
    <w:name w:val="Hangone"/>
    <w:rsid w:val="0062538B"/>
    <w:pPr>
      <w:widowControl w:val="0"/>
      <w:tabs>
        <w:tab w:val="left" w:pos="900"/>
      </w:tabs>
      <w:snapToGrid w:val="0"/>
      <w:spacing w:after="94"/>
      <w:ind w:left="900" w:hanging="900"/>
      <w:jc w:val="both"/>
    </w:pPr>
    <w:rPr>
      <w:rFonts w:ascii="Arial" w:hAnsi="Arial"/>
      <w:sz w:val="24"/>
      <w:lang w:val="en-US" w:eastAsia="en-US"/>
    </w:rPr>
  </w:style>
  <w:style w:type="paragraph" w:customStyle="1" w:styleId="Indentthree">
    <w:name w:val="Indentthree"/>
    <w:rsid w:val="0062538B"/>
    <w:pPr>
      <w:widowControl w:val="0"/>
      <w:snapToGrid w:val="0"/>
      <w:spacing w:after="94"/>
      <w:ind w:left="1260"/>
    </w:pPr>
    <w:rPr>
      <w:rFonts w:ascii="Arial" w:hAnsi="Arial"/>
      <w:sz w:val="24"/>
      <w:lang w:val="en-US" w:eastAsia="en-US"/>
    </w:rPr>
  </w:style>
  <w:style w:type="paragraph" w:customStyle="1" w:styleId="Indenttwo">
    <w:name w:val="Indenttwo"/>
    <w:rsid w:val="0062538B"/>
    <w:pPr>
      <w:widowControl w:val="0"/>
      <w:snapToGrid w:val="0"/>
      <w:spacing w:after="94"/>
      <w:ind w:left="900"/>
      <w:jc w:val="both"/>
    </w:pPr>
    <w:rPr>
      <w:rFonts w:ascii="Arial" w:hAnsi="Arial"/>
      <w:sz w:val="24"/>
      <w:lang w:val="en-US" w:eastAsia="en-US"/>
    </w:rPr>
  </w:style>
  <w:style w:type="character" w:customStyle="1" w:styleId="NationalText">
    <w:name w:val="NationalText"/>
    <w:rsid w:val="0062538B"/>
    <w:rPr>
      <w:rFonts w:ascii="Arial" w:hAnsi="Arial" w:cs="Arial" w:hint="default"/>
      <w:color w:val="FF00FF"/>
      <w:sz w:val="20"/>
    </w:rPr>
  </w:style>
  <w:style w:type="character" w:customStyle="1" w:styleId="searchhighlight">
    <w:name w:val="searchhighlight"/>
    <w:basedOn w:val="DefaultParagraphFont"/>
    <w:rsid w:val="00973B86"/>
  </w:style>
  <w:style w:type="character" w:customStyle="1" w:styleId="UnresolvedMention2">
    <w:name w:val="Unresolved Mention2"/>
    <w:basedOn w:val="DefaultParagraphFont"/>
    <w:uiPriority w:val="99"/>
    <w:semiHidden/>
    <w:unhideWhenUsed/>
    <w:rsid w:val="00271EC2"/>
    <w:rPr>
      <w:color w:val="605E5C"/>
      <w:shd w:val="clear" w:color="auto" w:fill="E1DFDD"/>
    </w:rPr>
  </w:style>
  <w:style w:type="paragraph" w:customStyle="1" w:styleId="xmsonormal">
    <w:name w:val="x_msonormal"/>
    <w:basedOn w:val="Normal"/>
    <w:rsid w:val="00D3566C"/>
    <w:pPr>
      <w:spacing w:before="100" w:beforeAutospacing="1" w:after="100" w:afterAutospacing="1"/>
    </w:pPr>
  </w:style>
  <w:style w:type="paragraph" w:customStyle="1" w:styleId="xmsolistparagraph">
    <w:name w:val="x_msolistparagraph"/>
    <w:basedOn w:val="Normal"/>
    <w:rsid w:val="00D3566C"/>
    <w:pPr>
      <w:spacing w:before="100" w:beforeAutospacing="1" w:after="100" w:afterAutospacing="1"/>
    </w:pPr>
  </w:style>
  <w:style w:type="character" w:customStyle="1" w:styleId="contentpasted0">
    <w:name w:val="contentpasted0"/>
    <w:basedOn w:val="DefaultParagraphFont"/>
    <w:rsid w:val="00AA17FB"/>
  </w:style>
  <w:style w:type="character" w:customStyle="1" w:styleId="contentpasted3">
    <w:name w:val="contentpasted3"/>
    <w:basedOn w:val="DefaultParagraphFont"/>
    <w:rsid w:val="0036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772">
      <w:bodyDiv w:val="1"/>
      <w:marLeft w:val="0"/>
      <w:marRight w:val="0"/>
      <w:marTop w:val="0"/>
      <w:marBottom w:val="0"/>
      <w:divBdr>
        <w:top w:val="none" w:sz="0" w:space="0" w:color="auto"/>
        <w:left w:val="none" w:sz="0" w:space="0" w:color="auto"/>
        <w:bottom w:val="none" w:sz="0" w:space="0" w:color="auto"/>
        <w:right w:val="none" w:sz="0" w:space="0" w:color="auto"/>
      </w:divBdr>
    </w:div>
    <w:div w:id="19550098">
      <w:bodyDiv w:val="1"/>
      <w:marLeft w:val="0"/>
      <w:marRight w:val="0"/>
      <w:marTop w:val="0"/>
      <w:marBottom w:val="0"/>
      <w:divBdr>
        <w:top w:val="none" w:sz="0" w:space="0" w:color="auto"/>
        <w:left w:val="none" w:sz="0" w:space="0" w:color="auto"/>
        <w:bottom w:val="none" w:sz="0" w:space="0" w:color="auto"/>
        <w:right w:val="none" w:sz="0" w:space="0" w:color="auto"/>
      </w:divBdr>
    </w:div>
    <w:div w:id="20710250">
      <w:bodyDiv w:val="1"/>
      <w:marLeft w:val="0"/>
      <w:marRight w:val="0"/>
      <w:marTop w:val="0"/>
      <w:marBottom w:val="0"/>
      <w:divBdr>
        <w:top w:val="none" w:sz="0" w:space="0" w:color="auto"/>
        <w:left w:val="none" w:sz="0" w:space="0" w:color="auto"/>
        <w:bottom w:val="none" w:sz="0" w:space="0" w:color="auto"/>
        <w:right w:val="none" w:sz="0" w:space="0" w:color="auto"/>
      </w:divBdr>
    </w:div>
    <w:div w:id="50539068">
      <w:bodyDiv w:val="1"/>
      <w:marLeft w:val="0"/>
      <w:marRight w:val="0"/>
      <w:marTop w:val="0"/>
      <w:marBottom w:val="0"/>
      <w:divBdr>
        <w:top w:val="none" w:sz="0" w:space="0" w:color="auto"/>
        <w:left w:val="none" w:sz="0" w:space="0" w:color="auto"/>
        <w:bottom w:val="none" w:sz="0" w:space="0" w:color="auto"/>
        <w:right w:val="none" w:sz="0" w:space="0" w:color="auto"/>
      </w:divBdr>
      <w:divsChild>
        <w:div w:id="111440394">
          <w:marLeft w:val="0"/>
          <w:marRight w:val="0"/>
          <w:marTop w:val="0"/>
          <w:marBottom w:val="0"/>
          <w:divBdr>
            <w:top w:val="none" w:sz="0" w:space="0" w:color="auto"/>
            <w:left w:val="none" w:sz="0" w:space="0" w:color="auto"/>
            <w:bottom w:val="none" w:sz="0" w:space="0" w:color="auto"/>
            <w:right w:val="none" w:sz="0" w:space="0" w:color="auto"/>
          </w:divBdr>
        </w:div>
        <w:div w:id="1897547317">
          <w:marLeft w:val="0"/>
          <w:marRight w:val="0"/>
          <w:marTop w:val="0"/>
          <w:marBottom w:val="0"/>
          <w:divBdr>
            <w:top w:val="none" w:sz="0" w:space="0" w:color="auto"/>
            <w:left w:val="none" w:sz="0" w:space="0" w:color="auto"/>
            <w:bottom w:val="none" w:sz="0" w:space="0" w:color="auto"/>
            <w:right w:val="none" w:sz="0" w:space="0" w:color="auto"/>
          </w:divBdr>
        </w:div>
      </w:divsChild>
    </w:div>
    <w:div w:id="65345818">
      <w:bodyDiv w:val="1"/>
      <w:marLeft w:val="0"/>
      <w:marRight w:val="0"/>
      <w:marTop w:val="0"/>
      <w:marBottom w:val="0"/>
      <w:divBdr>
        <w:top w:val="none" w:sz="0" w:space="0" w:color="auto"/>
        <w:left w:val="none" w:sz="0" w:space="0" w:color="auto"/>
        <w:bottom w:val="none" w:sz="0" w:space="0" w:color="auto"/>
        <w:right w:val="none" w:sz="0" w:space="0" w:color="auto"/>
      </w:divBdr>
    </w:div>
    <w:div w:id="84304512">
      <w:bodyDiv w:val="1"/>
      <w:marLeft w:val="0"/>
      <w:marRight w:val="0"/>
      <w:marTop w:val="0"/>
      <w:marBottom w:val="0"/>
      <w:divBdr>
        <w:top w:val="none" w:sz="0" w:space="0" w:color="auto"/>
        <w:left w:val="none" w:sz="0" w:space="0" w:color="auto"/>
        <w:bottom w:val="none" w:sz="0" w:space="0" w:color="auto"/>
        <w:right w:val="none" w:sz="0" w:space="0" w:color="auto"/>
      </w:divBdr>
    </w:div>
    <w:div w:id="98305265">
      <w:bodyDiv w:val="1"/>
      <w:marLeft w:val="0"/>
      <w:marRight w:val="0"/>
      <w:marTop w:val="0"/>
      <w:marBottom w:val="0"/>
      <w:divBdr>
        <w:top w:val="none" w:sz="0" w:space="0" w:color="auto"/>
        <w:left w:val="none" w:sz="0" w:space="0" w:color="auto"/>
        <w:bottom w:val="none" w:sz="0" w:space="0" w:color="auto"/>
        <w:right w:val="none" w:sz="0" w:space="0" w:color="auto"/>
      </w:divBdr>
    </w:div>
    <w:div w:id="104470650">
      <w:bodyDiv w:val="1"/>
      <w:marLeft w:val="0"/>
      <w:marRight w:val="0"/>
      <w:marTop w:val="0"/>
      <w:marBottom w:val="0"/>
      <w:divBdr>
        <w:top w:val="none" w:sz="0" w:space="0" w:color="auto"/>
        <w:left w:val="none" w:sz="0" w:space="0" w:color="auto"/>
        <w:bottom w:val="none" w:sz="0" w:space="0" w:color="auto"/>
        <w:right w:val="none" w:sz="0" w:space="0" w:color="auto"/>
      </w:divBdr>
    </w:div>
    <w:div w:id="139077873">
      <w:bodyDiv w:val="1"/>
      <w:marLeft w:val="0"/>
      <w:marRight w:val="0"/>
      <w:marTop w:val="0"/>
      <w:marBottom w:val="0"/>
      <w:divBdr>
        <w:top w:val="none" w:sz="0" w:space="0" w:color="auto"/>
        <w:left w:val="none" w:sz="0" w:space="0" w:color="auto"/>
        <w:bottom w:val="none" w:sz="0" w:space="0" w:color="auto"/>
        <w:right w:val="none" w:sz="0" w:space="0" w:color="auto"/>
      </w:divBdr>
    </w:div>
    <w:div w:id="144856639">
      <w:bodyDiv w:val="1"/>
      <w:marLeft w:val="0"/>
      <w:marRight w:val="0"/>
      <w:marTop w:val="0"/>
      <w:marBottom w:val="0"/>
      <w:divBdr>
        <w:top w:val="none" w:sz="0" w:space="0" w:color="auto"/>
        <w:left w:val="none" w:sz="0" w:space="0" w:color="auto"/>
        <w:bottom w:val="none" w:sz="0" w:space="0" w:color="auto"/>
        <w:right w:val="none" w:sz="0" w:space="0" w:color="auto"/>
      </w:divBdr>
    </w:div>
    <w:div w:id="148331128">
      <w:bodyDiv w:val="1"/>
      <w:marLeft w:val="0"/>
      <w:marRight w:val="0"/>
      <w:marTop w:val="0"/>
      <w:marBottom w:val="0"/>
      <w:divBdr>
        <w:top w:val="none" w:sz="0" w:space="0" w:color="auto"/>
        <w:left w:val="none" w:sz="0" w:space="0" w:color="auto"/>
        <w:bottom w:val="none" w:sz="0" w:space="0" w:color="auto"/>
        <w:right w:val="none" w:sz="0" w:space="0" w:color="auto"/>
      </w:divBdr>
    </w:div>
    <w:div w:id="153420675">
      <w:bodyDiv w:val="1"/>
      <w:marLeft w:val="0"/>
      <w:marRight w:val="0"/>
      <w:marTop w:val="0"/>
      <w:marBottom w:val="0"/>
      <w:divBdr>
        <w:top w:val="none" w:sz="0" w:space="0" w:color="auto"/>
        <w:left w:val="none" w:sz="0" w:space="0" w:color="auto"/>
        <w:bottom w:val="none" w:sz="0" w:space="0" w:color="auto"/>
        <w:right w:val="none" w:sz="0" w:space="0" w:color="auto"/>
      </w:divBdr>
    </w:div>
    <w:div w:id="178739008">
      <w:bodyDiv w:val="1"/>
      <w:marLeft w:val="0"/>
      <w:marRight w:val="0"/>
      <w:marTop w:val="0"/>
      <w:marBottom w:val="0"/>
      <w:divBdr>
        <w:top w:val="none" w:sz="0" w:space="0" w:color="auto"/>
        <w:left w:val="none" w:sz="0" w:space="0" w:color="auto"/>
        <w:bottom w:val="none" w:sz="0" w:space="0" w:color="auto"/>
        <w:right w:val="none" w:sz="0" w:space="0" w:color="auto"/>
      </w:divBdr>
    </w:div>
    <w:div w:id="201485399">
      <w:bodyDiv w:val="1"/>
      <w:marLeft w:val="0"/>
      <w:marRight w:val="0"/>
      <w:marTop w:val="0"/>
      <w:marBottom w:val="0"/>
      <w:divBdr>
        <w:top w:val="none" w:sz="0" w:space="0" w:color="auto"/>
        <w:left w:val="none" w:sz="0" w:space="0" w:color="auto"/>
        <w:bottom w:val="none" w:sz="0" w:space="0" w:color="auto"/>
        <w:right w:val="none" w:sz="0" w:space="0" w:color="auto"/>
      </w:divBdr>
    </w:div>
    <w:div w:id="202519063">
      <w:bodyDiv w:val="1"/>
      <w:marLeft w:val="0"/>
      <w:marRight w:val="0"/>
      <w:marTop w:val="0"/>
      <w:marBottom w:val="0"/>
      <w:divBdr>
        <w:top w:val="none" w:sz="0" w:space="0" w:color="auto"/>
        <w:left w:val="none" w:sz="0" w:space="0" w:color="auto"/>
        <w:bottom w:val="none" w:sz="0" w:space="0" w:color="auto"/>
        <w:right w:val="none" w:sz="0" w:space="0" w:color="auto"/>
      </w:divBdr>
    </w:div>
    <w:div w:id="211503069">
      <w:bodyDiv w:val="1"/>
      <w:marLeft w:val="0"/>
      <w:marRight w:val="0"/>
      <w:marTop w:val="0"/>
      <w:marBottom w:val="0"/>
      <w:divBdr>
        <w:top w:val="none" w:sz="0" w:space="0" w:color="auto"/>
        <w:left w:val="none" w:sz="0" w:space="0" w:color="auto"/>
        <w:bottom w:val="none" w:sz="0" w:space="0" w:color="auto"/>
        <w:right w:val="none" w:sz="0" w:space="0" w:color="auto"/>
      </w:divBdr>
    </w:div>
    <w:div w:id="223565647">
      <w:bodyDiv w:val="1"/>
      <w:marLeft w:val="0"/>
      <w:marRight w:val="0"/>
      <w:marTop w:val="0"/>
      <w:marBottom w:val="0"/>
      <w:divBdr>
        <w:top w:val="none" w:sz="0" w:space="0" w:color="auto"/>
        <w:left w:val="none" w:sz="0" w:space="0" w:color="auto"/>
        <w:bottom w:val="none" w:sz="0" w:space="0" w:color="auto"/>
        <w:right w:val="none" w:sz="0" w:space="0" w:color="auto"/>
      </w:divBdr>
    </w:div>
    <w:div w:id="233012136">
      <w:bodyDiv w:val="1"/>
      <w:marLeft w:val="0"/>
      <w:marRight w:val="0"/>
      <w:marTop w:val="0"/>
      <w:marBottom w:val="0"/>
      <w:divBdr>
        <w:top w:val="none" w:sz="0" w:space="0" w:color="auto"/>
        <w:left w:val="none" w:sz="0" w:space="0" w:color="auto"/>
        <w:bottom w:val="none" w:sz="0" w:space="0" w:color="auto"/>
        <w:right w:val="none" w:sz="0" w:space="0" w:color="auto"/>
      </w:divBdr>
    </w:div>
    <w:div w:id="233780486">
      <w:bodyDiv w:val="1"/>
      <w:marLeft w:val="0"/>
      <w:marRight w:val="0"/>
      <w:marTop w:val="0"/>
      <w:marBottom w:val="0"/>
      <w:divBdr>
        <w:top w:val="none" w:sz="0" w:space="0" w:color="auto"/>
        <w:left w:val="none" w:sz="0" w:space="0" w:color="auto"/>
        <w:bottom w:val="none" w:sz="0" w:space="0" w:color="auto"/>
        <w:right w:val="none" w:sz="0" w:space="0" w:color="auto"/>
      </w:divBdr>
    </w:div>
    <w:div w:id="251746601">
      <w:bodyDiv w:val="1"/>
      <w:marLeft w:val="0"/>
      <w:marRight w:val="0"/>
      <w:marTop w:val="0"/>
      <w:marBottom w:val="0"/>
      <w:divBdr>
        <w:top w:val="none" w:sz="0" w:space="0" w:color="auto"/>
        <w:left w:val="none" w:sz="0" w:space="0" w:color="auto"/>
        <w:bottom w:val="none" w:sz="0" w:space="0" w:color="auto"/>
        <w:right w:val="none" w:sz="0" w:space="0" w:color="auto"/>
      </w:divBdr>
    </w:div>
    <w:div w:id="252862687">
      <w:bodyDiv w:val="1"/>
      <w:marLeft w:val="0"/>
      <w:marRight w:val="0"/>
      <w:marTop w:val="0"/>
      <w:marBottom w:val="0"/>
      <w:divBdr>
        <w:top w:val="none" w:sz="0" w:space="0" w:color="auto"/>
        <w:left w:val="none" w:sz="0" w:space="0" w:color="auto"/>
        <w:bottom w:val="none" w:sz="0" w:space="0" w:color="auto"/>
        <w:right w:val="none" w:sz="0" w:space="0" w:color="auto"/>
      </w:divBdr>
    </w:div>
    <w:div w:id="263880321">
      <w:bodyDiv w:val="1"/>
      <w:marLeft w:val="0"/>
      <w:marRight w:val="0"/>
      <w:marTop w:val="0"/>
      <w:marBottom w:val="0"/>
      <w:divBdr>
        <w:top w:val="none" w:sz="0" w:space="0" w:color="auto"/>
        <w:left w:val="none" w:sz="0" w:space="0" w:color="auto"/>
        <w:bottom w:val="none" w:sz="0" w:space="0" w:color="auto"/>
        <w:right w:val="none" w:sz="0" w:space="0" w:color="auto"/>
      </w:divBdr>
    </w:div>
    <w:div w:id="284166269">
      <w:bodyDiv w:val="1"/>
      <w:marLeft w:val="0"/>
      <w:marRight w:val="0"/>
      <w:marTop w:val="0"/>
      <w:marBottom w:val="0"/>
      <w:divBdr>
        <w:top w:val="none" w:sz="0" w:space="0" w:color="auto"/>
        <w:left w:val="none" w:sz="0" w:space="0" w:color="auto"/>
        <w:bottom w:val="none" w:sz="0" w:space="0" w:color="auto"/>
        <w:right w:val="none" w:sz="0" w:space="0" w:color="auto"/>
      </w:divBdr>
    </w:div>
    <w:div w:id="289871596">
      <w:bodyDiv w:val="1"/>
      <w:marLeft w:val="0"/>
      <w:marRight w:val="0"/>
      <w:marTop w:val="0"/>
      <w:marBottom w:val="0"/>
      <w:divBdr>
        <w:top w:val="none" w:sz="0" w:space="0" w:color="auto"/>
        <w:left w:val="none" w:sz="0" w:space="0" w:color="auto"/>
        <w:bottom w:val="none" w:sz="0" w:space="0" w:color="auto"/>
        <w:right w:val="none" w:sz="0" w:space="0" w:color="auto"/>
      </w:divBdr>
    </w:div>
    <w:div w:id="325862015">
      <w:bodyDiv w:val="1"/>
      <w:marLeft w:val="0"/>
      <w:marRight w:val="0"/>
      <w:marTop w:val="0"/>
      <w:marBottom w:val="0"/>
      <w:divBdr>
        <w:top w:val="none" w:sz="0" w:space="0" w:color="auto"/>
        <w:left w:val="none" w:sz="0" w:space="0" w:color="auto"/>
        <w:bottom w:val="none" w:sz="0" w:space="0" w:color="auto"/>
        <w:right w:val="none" w:sz="0" w:space="0" w:color="auto"/>
      </w:divBdr>
    </w:div>
    <w:div w:id="333724111">
      <w:bodyDiv w:val="1"/>
      <w:marLeft w:val="0"/>
      <w:marRight w:val="0"/>
      <w:marTop w:val="0"/>
      <w:marBottom w:val="0"/>
      <w:divBdr>
        <w:top w:val="none" w:sz="0" w:space="0" w:color="auto"/>
        <w:left w:val="none" w:sz="0" w:space="0" w:color="auto"/>
        <w:bottom w:val="none" w:sz="0" w:space="0" w:color="auto"/>
        <w:right w:val="none" w:sz="0" w:space="0" w:color="auto"/>
      </w:divBdr>
    </w:div>
    <w:div w:id="354113270">
      <w:bodyDiv w:val="1"/>
      <w:marLeft w:val="0"/>
      <w:marRight w:val="0"/>
      <w:marTop w:val="0"/>
      <w:marBottom w:val="0"/>
      <w:divBdr>
        <w:top w:val="none" w:sz="0" w:space="0" w:color="auto"/>
        <w:left w:val="none" w:sz="0" w:space="0" w:color="auto"/>
        <w:bottom w:val="none" w:sz="0" w:space="0" w:color="auto"/>
        <w:right w:val="none" w:sz="0" w:space="0" w:color="auto"/>
      </w:divBdr>
    </w:div>
    <w:div w:id="397365959">
      <w:bodyDiv w:val="1"/>
      <w:marLeft w:val="0"/>
      <w:marRight w:val="0"/>
      <w:marTop w:val="0"/>
      <w:marBottom w:val="0"/>
      <w:divBdr>
        <w:top w:val="none" w:sz="0" w:space="0" w:color="auto"/>
        <w:left w:val="none" w:sz="0" w:space="0" w:color="auto"/>
        <w:bottom w:val="none" w:sz="0" w:space="0" w:color="auto"/>
        <w:right w:val="none" w:sz="0" w:space="0" w:color="auto"/>
      </w:divBdr>
    </w:div>
    <w:div w:id="405033609">
      <w:bodyDiv w:val="1"/>
      <w:marLeft w:val="0"/>
      <w:marRight w:val="0"/>
      <w:marTop w:val="0"/>
      <w:marBottom w:val="0"/>
      <w:divBdr>
        <w:top w:val="none" w:sz="0" w:space="0" w:color="auto"/>
        <w:left w:val="none" w:sz="0" w:space="0" w:color="auto"/>
        <w:bottom w:val="none" w:sz="0" w:space="0" w:color="auto"/>
        <w:right w:val="none" w:sz="0" w:space="0" w:color="auto"/>
      </w:divBdr>
    </w:div>
    <w:div w:id="405962207">
      <w:bodyDiv w:val="1"/>
      <w:marLeft w:val="0"/>
      <w:marRight w:val="0"/>
      <w:marTop w:val="0"/>
      <w:marBottom w:val="0"/>
      <w:divBdr>
        <w:top w:val="none" w:sz="0" w:space="0" w:color="auto"/>
        <w:left w:val="none" w:sz="0" w:space="0" w:color="auto"/>
        <w:bottom w:val="none" w:sz="0" w:space="0" w:color="auto"/>
        <w:right w:val="none" w:sz="0" w:space="0" w:color="auto"/>
      </w:divBdr>
    </w:div>
    <w:div w:id="411003866">
      <w:bodyDiv w:val="1"/>
      <w:marLeft w:val="0"/>
      <w:marRight w:val="0"/>
      <w:marTop w:val="0"/>
      <w:marBottom w:val="0"/>
      <w:divBdr>
        <w:top w:val="none" w:sz="0" w:space="0" w:color="auto"/>
        <w:left w:val="none" w:sz="0" w:space="0" w:color="auto"/>
        <w:bottom w:val="none" w:sz="0" w:space="0" w:color="auto"/>
        <w:right w:val="none" w:sz="0" w:space="0" w:color="auto"/>
      </w:divBdr>
    </w:div>
    <w:div w:id="414012623">
      <w:bodyDiv w:val="1"/>
      <w:marLeft w:val="0"/>
      <w:marRight w:val="0"/>
      <w:marTop w:val="0"/>
      <w:marBottom w:val="0"/>
      <w:divBdr>
        <w:top w:val="none" w:sz="0" w:space="0" w:color="auto"/>
        <w:left w:val="none" w:sz="0" w:space="0" w:color="auto"/>
        <w:bottom w:val="none" w:sz="0" w:space="0" w:color="auto"/>
        <w:right w:val="none" w:sz="0" w:space="0" w:color="auto"/>
      </w:divBdr>
    </w:div>
    <w:div w:id="446123982">
      <w:bodyDiv w:val="1"/>
      <w:marLeft w:val="0"/>
      <w:marRight w:val="0"/>
      <w:marTop w:val="0"/>
      <w:marBottom w:val="0"/>
      <w:divBdr>
        <w:top w:val="none" w:sz="0" w:space="0" w:color="auto"/>
        <w:left w:val="none" w:sz="0" w:space="0" w:color="auto"/>
        <w:bottom w:val="none" w:sz="0" w:space="0" w:color="auto"/>
        <w:right w:val="none" w:sz="0" w:space="0" w:color="auto"/>
      </w:divBdr>
    </w:div>
    <w:div w:id="456530562">
      <w:bodyDiv w:val="1"/>
      <w:marLeft w:val="0"/>
      <w:marRight w:val="0"/>
      <w:marTop w:val="0"/>
      <w:marBottom w:val="0"/>
      <w:divBdr>
        <w:top w:val="none" w:sz="0" w:space="0" w:color="auto"/>
        <w:left w:val="none" w:sz="0" w:space="0" w:color="auto"/>
        <w:bottom w:val="none" w:sz="0" w:space="0" w:color="auto"/>
        <w:right w:val="none" w:sz="0" w:space="0" w:color="auto"/>
      </w:divBdr>
    </w:div>
    <w:div w:id="462433019">
      <w:bodyDiv w:val="1"/>
      <w:marLeft w:val="0"/>
      <w:marRight w:val="0"/>
      <w:marTop w:val="0"/>
      <w:marBottom w:val="0"/>
      <w:divBdr>
        <w:top w:val="none" w:sz="0" w:space="0" w:color="auto"/>
        <w:left w:val="none" w:sz="0" w:space="0" w:color="auto"/>
        <w:bottom w:val="none" w:sz="0" w:space="0" w:color="auto"/>
        <w:right w:val="none" w:sz="0" w:space="0" w:color="auto"/>
      </w:divBdr>
    </w:div>
    <w:div w:id="467093502">
      <w:bodyDiv w:val="1"/>
      <w:marLeft w:val="0"/>
      <w:marRight w:val="0"/>
      <w:marTop w:val="0"/>
      <w:marBottom w:val="0"/>
      <w:divBdr>
        <w:top w:val="none" w:sz="0" w:space="0" w:color="auto"/>
        <w:left w:val="none" w:sz="0" w:space="0" w:color="auto"/>
        <w:bottom w:val="none" w:sz="0" w:space="0" w:color="auto"/>
        <w:right w:val="none" w:sz="0" w:space="0" w:color="auto"/>
      </w:divBdr>
      <w:divsChild>
        <w:div w:id="1744255191">
          <w:marLeft w:val="0"/>
          <w:marRight w:val="0"/>
          <w:marTop w:val="0"/>
          <w:marBottom w:val="0"/>
          <w:divBdr>
            <w:top w:val="none" w:sz="0" w:space="0" w:color="auto"/>
            <w:left w:val="none" w:sz="0" w:space="0" w:color="auto"/>
            <w:bottom w:val="none" w:sz="0" w:space="0" w:color="auto"/>
            <w:right w:val="none" w:sz="0" w:space="0" w:color="auto"/>
          </w:divBdr>
        </w:div>
      </w:divsChild>
    </w:div>
    <w:div w:id="482048433">
      <w:bodyDiv w:val="1"/>
      <w:marLeft w:val="0"/>
      <w:marRight w:val="0"/>
      <w:marTop w:val="0"/>
      <w:marBottom w:val="0"/>
      <w:divBdr>
        <w:top w:val="none" w:sz="0" w:space="0" w:color="auto"/>
        <w:left w:val="none" w:sz="0" w:space="0" w:color="auto"/>
        <w:bottom w:val="none" w:sz="0" w:space="0" w:color="auto"/>
        <w:right w:val="none" w:sz="0" w:space="0" w:color="auto"/>
      </w:divBdr>
    </w:div>
    <w:div w:id="484124843">
      <w:bodyDiv w:val="1"/>
      <w:marLeft w:val="0"/>
      <w:marRight w:val="0"/>
      <w:marTop w:val="0"/>
      <w:marBottom w:val="0"/>
      <w:divBdr>
        <w:top w:val="none" w:sz="0" w:space="0" w:color="auto"/>
        <w:left w:val="none" w:sz="0" w:space="0" w:color="auto"/>
        <w:bottom w:val="none" w:sz="0" w:space="0" w:color="auto"/>
        <w:right w:val="none" w:sz="0" w:space="0" w:color="auto"/>
      </w:divBdr>
    </w:div>
    <w:div w:id="488594427">
      <w:bodyDiv w:val="1"/>
      <w:marLeft w:val="0"/>
      <w:marRight w:val="0"/>
      <w:marTop w:val="0"/>
      <w:marBottom w:val="0"/>
      <w:divBdr>
        <w:top w:val="none" w:sz="0" w:space="0" w:color="auto"/>
        <w:left w:val="none" w:sz="0" w:space="0" w:color="auto"/>
        <w:bottom w:val="none" w:sz="0" w:space="0" w:color="auto"/>
        <w:right w:val="none" w:sz="0" w:space="0" w:color="auto"/>
      </w:divBdr>
    </w:div>
    <w:div w:id="490951152">
      <w:bodyDiv w:val="1"/>
      <w:marLeft w:val="0"/>
      <w:marRight w:val="0"/>
      <w:marTop w:val="0"/>
      <w:marBottom w:val="0"/>
      <w:divBdr>
        <w:top w:val="none" w:sz="0" w:space="0" w:color="auto"/>
        <w:left w:val="none" w:sz="0" w:space="0" w:color="auto"/>
        <w:bottom w:val="none" w:sz="0" w:space="0" w:color="auto"/>
        <w:right w:val="none" w:sz="0" w:space="0" w:color="auto"/>
      </w:divBdr>
    </w:div>
    <w:div w:id="529992199">
      <w:bodyDiv w:val="1"/>
      <w:marLeft w:val="0"/>
      <w:marRight w:val="0"/>
      <w:marTop w:val="0"/>
      <w:marBottom w:val="0"/>
      <w:divBdr>
        <w:top w:val="none" w:sz="0" w:space="0" w:color="auto"/>
        <w:left w:val="none" w:sz="0" w:space="0" w:color="auto"/>
        <w:bottom w:val="none" w:sz="0" w:space="0" w:color="auto"/>
        <w:right w:val="none" w:sz="0" w:space="0" w:color="auto"/>
      </w:divBdr>
      <w:divsChild>
        <w:div w:id="644237298">
          <w:marLeft w:val="6"/>
          <w:marRight w:val="0"/>
          <w:marTop w:val="0"/>
          <w:marBottom w:val="0"/>
          <w:divBdr>
            <w:top w:val="none" w:sz="0" w:space="0" w:color="auto"/>
            <w:left w:val="none" w:sz="0" w:space="0" w:color="auto"/>
            <w:bottom w:val="none" w:sz="0" w:space="0" w:color="auto"/>
            <w:right w:val="none" w:sz="0" w:space="0" w:color="auto"/>
          </w:divBdr>
          <w:divsChild>
            <w:div w:id="1276609">
              <w:marLeft w:val="0"/>
              <w:marRight w:val="0"/>
              <w:marTop w:val="60"/>
              <w:marBottom w:val="0"/>
              <w:divBdr>
                <w:top w:val="none" w:sz="0" w:space="0" w:color="auto"/>
                <w:left w:val="none" w:sz="0" w:space="0" w:color="auto"/>
                <w:bottom w:val="none" w:sz="0" w:space="0" w:color="auto"/>
                <w:right w:val="none" w:sz="0" w:space="0" w:color="auto"/>
              </w:divBdr>
            </w:div>
            <w:div w:id="789934538">
              <w:marLeft w:val="4"/>
              <w:marRight w:val="0"/>
              <w:marTop w:val="0"/>
              <w:marBottom w:val="0"/>
              <w:divBdr>
                <w:top w:val="none" w:sz="0" w:space="0" w:color="auto"/>
                <w:left w:val="none" w:sz="0" w:space="0" w:color="auto"/>
                <w:bottom w:val="none" w:sz="0" w:space="0" w:color="auto"/>
                <w:right w:val="none" w:sz="0" w:space="0" w:color="auto"/>
              </w:divBdr>
            </w:div>
            <w:div w:id="801581940">
              <w:marLeft w:val="0"/>
              <w:marRight w:val="0"/>
              <w:marTop w:val="60"/>
              <w:marBottom w:val="0"/>
              <w:divBdr>
                <w:top w:val="none" w:sz="0" w:space="0" w:color="auto"/>
                <w:left w:val="none" w:sz="0" w:space="0" w:color="auto"/>
                <w:bottom w:val="none" w:sz="0" w:space="0" w:color="auto"/>
                <w:right w:val="none" w:sz="0" w:space="0" w:color="auto"/>
              </w:divBdr>
            </w:div>
            <w:div w:id="1725981247">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532426116">
      <w:bodyDiv w:val="1"/>
      <w:marLeft w:val="0"/>
      <w:marRight w:val="0"/>
      <w:marTop w:val="0"/>
      <w:marBottom w:val="0"/>
      <w:divBdr>
        <w:top w:val="none" w:sz="0" w:space="0" w:color="auto"/>
        <w:left w:val="none" w:sz="0" w:space="0" w:color="auto"/>
        <w:bottom w:val="none" w:sz="0" w:space="0" w:color="auto"/>
        <w:right w:val="none" w:sz="0" w:space="0" w:color="auto"/>
      </w:divBdr>
    </w:div>
    <w:div w:id="535167041">
      <w:bodyDiv w:val="1"/>
      <w:marLeft w:val="0"/>
      <w:marRight w:val="0"/>
      <w:marTop w:val="0"/>
      <w:marBottom w:val="0"/>
      <w:divBdr>
        <w:top w:val="none" w:sz="0" w:space="0" w:color="auto"/>
        <w:left w:val="none" w:sz="0" w:space="0" w:color="auto"/>
        <w:bottom w:val="none" w:sz="0" w:space="0" w:color="auto"/>
        <w:right w:val="none" w:sz="0" w:space="0" w:color="auto"/>
      </w:divBdr>
      <w:divsChild>
        <w:div w:id="866257154">
          <w:marLeft w:val="6"/>
          <w:marRight w:val="0"/>
          <w:marTop w:val="0"/>
          <w:marBottom w:val="0"/>
          <w:divBdr>
            <w:top w:val="none" w:sz="0" w:space="0" w:color="auto"/>
            <w:left w:val="none" w:sz="0" w:space="0" w:color="auto"/>
            <w:bottom w:val="none" w:sz="0" w:space="0" w:color="auto"/>
            <w:right w:val="none" w:sz="0" w:space="0" w:color="auto"/>
          </w:divBdr>
          <w:divsChild>
            <w:div w:id="1072238281">
              <w:marLeft w:val="0"/>
              <w:marRight w:val="0"/>
              <w:marTop w:val="240"/>
              <w:marBottom w:val="0"/>
              <w:divBdr>
                <w:top w:val="none" w:sz="0" w:space="0" w:color="auto"/>
                <w:left w:val="none" w:sz="0" w:space="0" w:color="auto"/>
                <w:bottom w:val="none" w:sz="0" w:space="0" w:color="auto"/>
                <w:right w:val="none" w:sz="0" w:space="0" w:color="auto"/>
              </w:divBdr>
            </w:div>
            <w:div w:id="1215046276">
              <w:marLeft w:val="0"/>
              <w:marRight w:val="0"/>
              <w:marTop w:val="240"/>
              <w:marBottom w:val="0"/>
              <w:divBdr>
                <w:top w:val="none" w:sz="0" w:space="0" w:color="auto"/>
                <w:left w:val="none" w:sz="0" w:space="0" w:color="auto"/>
                <w:bottom w:val="none" w:sz="0" w:space="0" w:color="auto"/>
                <w:right w:val="none" w:sz="0" w:space="0" w:color="auto"/>
              </w:divBdr>
            </w:div>
            <w:div w:id="1428498123">
              <w:marLeft w:val="0"/>
              <w:marRight w:val="0"/>
              <w:marTop w:val="240"/>
              <w:marBottom w:val="0"/>
              <w:divBdr>
                <w:top w:val="none" w:sz="0" w:space="0" w:color="auto"/>
                <w:left w:val="none" w:sz="0" w:space="0" w:color="auto"/>
                <w:bottom w:val="none" w:sz="0" w:space="0" w:color="auto"/>
                <w:right w:val="none" w:sz="0" w:space="0" w:color="auto"/>
              </w:divBdr>
            </w:div>
            <w:div w:id="1490631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38400291">
      <w:bodyDiv w:val="1"/>
      <w:marLeft w:val="0"/>
      <w:marRight w:val="0"/>
      <w:marTop w:val="0"/>
      <w:marBottom w:val="0"/>
      <w:divBdr>
        <w:top w:val="none" w:sz="0" w:space="0" w:color="auto"/>
        <w:left w:val="none" w:sz="0" w:space="0" w:color="auto"/>
        <w:bottom w:val="none" w:sz="0" w:space="0" w:color="auto"/>
        <w:right w:val="none" w:sz="0" w:space="0" w:color="auto"/>
      </w:divBdr>
    </w:div>
    <w:div w:id="539169897">
      <w:bodyDiv w:val="1"/>
      <w:marLeft w:val="0"/>
      <w:marRight w:val="0"/>
      <w:marTop w:val="0"/>
      <w:marBottom w:val="0"/>
      <w:divBdr>
        <w:top w:val="none" w:sz="0" w:space="0" w:color="auto"/>
        <w:left w:val="none" w:sz="0" w:space="0" w:color="auto"/>
        <w:bottom w:val="none" w:sz="0" w:space="0" w:color="auto"/>
        <w:right w:val="none" w:sz="0" w:space="0" w:color="auto"/>
      </w:divBdr>
    </w:div>
    <w:div w:id="560673795">
      <w:bodyDiv w:val="1"/>
      <w:marLeft w:val="0"/>
      <w:marRight w:val="0"/>
      <w:marTop w:val="0"/>
      <w:marBottom w:val="0"/>
      <w:divBdr>
        <w:top w:val="none" w:sz="0" w:space="0" w:color="auto"/>
        <w:left w:val="none" w:sz="0" w:space="0" w:color="auto"/>
        <w:bottom w:val="none" w:sz="0" w:space="0" w:color="auto"/>
        <w:right w:val="none" w:sz="0" w:space="0" w:color="auto"/>
      </w:divBdr>
    </w:div>
    <w:div w:id="562839035">
      <w:bodyDiv w:val="1"/>
      <w:marLeft w:val="0"/>
      <w:marRight w:val="0"/>
      <w:marTop w:val="0"/>
      <w:marBottom w:val="0"/>
      <w:divBdr>
        <w:top w:val="none" w:sz="0" w:space="0" w:color="auto"/>
        <w:left w:val="none" w:sz="0" w:space="0" w:color="auto"/>
        <w:bottom w:val="none" w:sz="0" w:space="0" w:color="auto"/>
        <w:right w:val="none" w:sz="0" w:space="0" w:color="auto"/>
      </w:divBdr>
    </w:div>
    <w:div w:id="576596653">
      <w:bodyDiv w:val="1"/>
      <w:marLeft w:val="0"/>
      <w:marRight w:val="0"/>
      <w:marTop w:val="0"/>
      <w:marBottom w:val="0"/>
      <w:divBdr>
        <w:top w:val="none" w:sz="0" w:space="0" w:color="auto"/>
        <w:left w:val="none" w:sz="0" w:space="0" w:color="auto"/>
        <w:bottom w:val="none" w:sz="0" w:space="0" w:color="auto"/>
        <w:right w:val="none" w:sz="0" w:space="0" w:color="auto"/>
      </w:divBdr>
    </w:div>
    <w:div w:id="593319166">
      <w:bodyDiv w:val="1"/>
      <w:marLeft w:val="0"/>
      <w:marRight w:val="0"/>
      <w:marTop w:val="0"/>
      <w:marBottom w:val="0"/>
      <w:divBdr>
        <w:top w:val="none" w:sz="0" w:space="0" w:color="auto"/>
        <w:left w:val="none" w:sz="0" w:space="0" w:color="auto"/>
        <w:bottom w:val="none" w:sz="0" w:space="0" w:color="auto"/>
        <w:right w:val="none" w:sz="0" w:space="0" w:color="auto"/>
      </w:divBdr>
    </w:div>
    <w:div w:id="593897131">
      <w:bodyDiv w:val="1"/>
      <w:marLeft w:val="0"/>
      <w:marRight w:val="0"/>
      <w:marTop w:val="0"/>
      <w:marBottom w:val="0"/>
      <w:divBdr>
        <w:top w:val="none" w:sz="0" w:space="0" w:color="auto"/>
        <w:left w:val="none" w:sz="0" w:space="0" w:color="auto"/>
        <w:bottom w:val="none" w:sz="0" w:space="0" w:color="auto"/>
        <w:right w:val="none" w:sz="0" w:space="0" w:color="auto"/>
      </w:divBdr>
    </w:div>
    <w:div w:id="610010361">
      <w:bodyDiv w:val="1"/>
      <w:marLeft w:val="0"/>
      <w:marRight w:val="0"/>
      <w:marTop w:val="0"/>
      <w:marBottom w:val="0"/>
      <w:divBdr>
        <w:top w:val="none" w:sz="0" w:space="0" w:color="auto"/>
        <w:left w:val="none" w:sz="0" w:space="0" w:color="auto"/>
        <w:bottom w:val="none" w:sz="0" w:space="0" w:color="auto"/>
        <w:right w:val="none" w:sz="0" w:space="0" w:color="auto"/>
      </w:divBdr>
    </w:div>
    <w:div w:id="624773204">
      <w:bodyDiv w:val="1"/>
      <w:marLeft w:val="0"/>
      <w:marRight w:val="0"/>
      <w:marTop w:val="0"/>
      <w:marBottom w:val="0"/>
      <w:divBdr>
        <w:top w:val="none" w:sz="0" w:space="0" w:color="auto"/>
        <w:left w:val="none" w:sz="0" w:space="0" w:color="auto"/>
        <w:bottom w:val="none" w:sz="0" w:space="0" w:color="auto"/>
        <w:right w:val="none" w:sz="0" w:space="0" w:color="auto"/>
      </w:divBdr>
    </w:div>
    <w:div w:id="634724116">
      <w:bodyDiv w:val="1"/>
      <w:marLeft w:val="0"/>
      <w:marRight w:val="0"/>
      <w:marTop w:val="0"/>
      <w:marBottom w:val="0"/>
      <w:divBdr>
        <w:top w:val="none" w:sz="0" w:space="0" w:color="auto"/>
        <w:left w:val="none" w:sz="0" w:space="0" w:color="auto"/>
        <w:bottom w:val="none" w:sz="0" w:space="0" w:color="auto"/>
        <w:right w:val="none" w:sz="0" w:space="0" w:color="auto"/>
      </w:divBdr>
    </w:div>
    <w:div w:id="645862365">
      <w:bodyDiv w:val="1"/>
      <w:marLeft w:val="0"/>
      <w:marRight w:val="0"/>
      <w:marTop w:val="0"/>
      <w:marBottom w:val="0"/>
      <w:divBdr>
        <w:top w:val="none" w:sz="0" w:space="0" w:color="auto"/>
        <w:left w:val="none" w:sz="0" w:space="0" w:color="auto"/>
        <w:bottom w:val="none" w:sz="0" w:space="0" w:color="auto"/>
        <w:right w:val="none" w:sz="0" w:space="0" w:color="auto"/>
      </w:divBdr>
    </w:div>
    <w:div w:id="662243296">
      <w:bodyDiv w:val="1"/>
      <w:marLeft w:val="0"/>
      <w:marRight w:val="0"/>
      <w:marTop w:val="0"/>
      <w:marBottom w:val="0"/>
      <w:divBdr>
        <w:top w:val="none" w:sz="0" w:space="0" w:color="auto"/>
        <w:left w:val="none" w:sz="0" w:space="0" w:color="auto"/>
        <w:bottom w:val="none" w:sz="0" w:space="0" w:color="auto"/>
        <w:right w:val="none" w:sz="0" w:space="0" w:color="auto"/>
      </w:divBdr>
    </w:div>
    <w:div w:id="666447510">
      <w:bodyDiv w:val="1"/>
      <w:marLeft w:val="0"/>
      <w:marRight w:val="0"/>
      <w:marTop w:val="0"/>
      <w:marBottom w:val="0"/>
      <w:divBdr>
        <w:top w:val="none" w:sz="0" w:space="0" w:color="auto"/>
        <w:left w:val="none" w:sz="0" w:space="0" w:color="auto"/>
        <w:bottom w:val="none" w:sz="0" w:space="0" w:color="auto"/>
        <w:right w:val="none" w:sz="0" w:space="0" w:color="auto"/>
      </w:divBdr>
    </w:div>
    <w:div w:id="671417482">
      <w:bodyDiv w:val="1"/>
      <w:marLeft w:val="0"/>
      <w:marRight w:val="0"/>
      <w:marTop w:val="0"/>
      <w:marBottom w:val="0"/>
      <w:divBdr>
        <w:top w:val="none" w:sz="0" w:space="0" w:color="auto"/>
        <w:left w:val="none" w:sz="0" w:space="0" w:color="auto"/>
        <w:bottom w:val="none" w:sz="0" w:space="0" w:color="auto"/>
        <w:right w:val="none" w:sz="0" w:space="0" w:color="auto"/>
      </w:divBdr>
    </w:div>
    <w:div w:id="674067216">
      <w:bodyDiv w:val="1"/>
      <w:marLeft w:val="0"/>
      <w:marRight w:val="0"/>
      <w:marTop w:val="0"/>
      <w:marBottom w:val="0"/>
      <w:divBdr>
        <w:top w:val="none" w:sz="0" w:space="0" w:color="auto"/>
        <w:left w:val="none" w:sz="0" w:space="0" w:color="auto"/>
        <w:bottom w:val="none" w:sz="0" w:space="0" w:color="auto"/>
        <w:right w:val="none" w:sz="0" w:space="0" w:color="auto"/>
      </w:divBdr>
    </w:div>
    <w:div w:id="695275870">
      <w:bodyDiv w:val="1"/>
      <w:marLeft w:val="0"/>
      <w:marRight w:val="0"/>
      <w:marTop w:val="0"/>
      <w:marBottom w:val="0"/>
      <w:divBdr>
        <w:top w:val="none" w:sz="0" w:space="0" w:color="auto"/>
        <w:left w:val="none" w:sz="0" w:space="0" w:color="auto"/>
        <w:bottom w:val="none" w:sz="0" w:space="0" w:color="auto"/>
        <w:right w:val="none" w:sz="0" w:space="0" w:color="auto"/>
      </w:divBdr>
    </w:div>
    <w:div w:id="705788162">
      <w:bodyDiv w:val="1"/>
      <w:marLeft w:val="0"/>
      <w:marRight w:val="0"/>
      <w:marTop w:val="0"/>
      <w:marBottom w:val="0"/>
      <w:divBdr>
        <w:top w:val="none" w:sz="0" w:space="0" w:color="auto"/>
        <w:left w:val="none" w:sz="0" w:space="0" w:color="auto"/>
        <w:bottom w:val="none" w:sz="0" w:space="0" w:color="auto"/>
        <w:right w:val="none" w:sz="0" w:space="0" w:color="auto"/>
      </w:divBdr>
    </w:div>
    <w:div w:id="750126651">
      <w:bodyDiv w:val="1"/>
      <w:marLeft w:val="0"/>
      <w:marRight w:val="0"/>
      <w:marTop w:val="0"/>
      <w:marBottom w:val="0"/>
      <w:divBdr>
        <w:top w:val="none" w:sz="0" w:space="0" w:color="auto"/>
        <w:left w:val="none" w:sz="0" w:space="0" w:color="auto"/>
        <w:bottom w:val="none" w:sz="0" w:space="0" w:color="auto"/>
        <w:right w:val="none" w:sz="0" w:space="0" w:color="auto"/>
      </w:divBdr>
    </w:div>
    <w:div w:id="798915829">
      <w:bodyDiv w:val="1"/>
      <w:marLeft w:val="0"/>
      <w:marRight w:val="0"/>
      <w:marTop w:val="0"/>
      <w:marBottom w:val="0"/>
      <w:divBdr>
        <w:top w:val="none" w:sz="0" w:space="0" w:color="auto"/>
        <w:left w:val="none" w:sz="0" w:space="0" w:color="auto"/>
        <w:bottom w:val="none" w:sz="0" w:space="0" w:color="auto"/>
        <w:right w:val="none" w:sz="0" w:space="0" w:color="auto"/>
      </w:divBdr>
    </w:div>
    <w:div w:id="812527757">
      <w:bodyDiv w:val="1"/>
      <w:marLeft w:val="0"/>
      <w:marRight w:val="0"/>
      <w:marTop w:val="0"/>
      <w:marBottom w:val="0"/>
      <w:divBdr>
        <w:top w:val="none" w:sz="0" w:space="0" w:color="auto"/>
        <w:left w:val="none" w:sz="0" w:space="0" w:color="auto"/>
        <w:bottom w:val="none" w:sz="0" w:space="0" w:color="auto"/>
        <w:right w:val="none" w:sz="0" w:space="0" w:color="auto"/>
      </w:divBdr>
    </w:div>
    <w:div w:id="834687310">
      <w:bodyDiv w:val="1"/>
      <w:marLeft w:val="0"/>
      <w:marRight w:val="0"/>
      <w:marTop w:val="0"/>
      <w:marBottom w:val="0"/>
      <w:divBdr>
        <w:top w:val="none" w:sz="0" w:space="0" w:color="auto"/>
        <w:left w:val="none" w:sz="0" w:space="0" w:color="auto"/>
        <w:bottom w:val="none" w:sz="0" w:space="0" w:color="auto"/>
        <w:right w:val="none" w:sz="0" w:space="0" w:color="auto"/>
      </w:divBdr>
    </w:div>
    <w:div w:id="837232696">
      <w:bodyDiv w:val="1"/>
      <w:marLeft w:val="0"/>
      <w:marRight w:val="0"/>
      <w:marTop w:val="0"/>
      <w:marBottom w:val="0"/>
      <w:divBdr>
        <w:top w:val="none" w:sz="0" w:space="0" w:color="auto"/>
        <w:left w:val="none" w:sz="0" w:space="0" w:color="auto"/>
        <w:bottom w:val="none" w:sz="0" w:space="0" w:color="auto"/>
        <w:right w:val="none" w:sz="0" w:space="0" w:color="auto"/>
      </w:divBdr>
      <w:divsChild>
        <w:div w:id="283735099">
          <w:marLeft w:val="0"/>
          <w:marRight w:val="0"/>
          <w:marTop w:val="240"/>
          <w:marBottom w:val="120"/>
          <w:divBdr>
            <w:top w:val="none" w:sz="0" w:space="0" w:color="auto"/>
            <w:left w:val="none" w:sz="0" w:space="0" w:color="auto"/>
            <w:bottom w:val="single" w:sz="8" w:space="0" w:color="000000"/>
            <w:right w:val="none" w:sz="0" w:space="0" w:color="auto"/>
          </w:divBdr>
        </w:div>
        <w:div w:id="811366813">
          <w:marLeft w:val="0"/>
          <w:marRight w:val="0"/>
          <w:marTop w:val="120"/>
          <w:marBottom w:val="240"/>
          <w:divBdr>
            <w:top w:val="none" w:sz="0" w:space="0" w:color="auto"/>
            <w:left w:val="none" w:sz="0" w:space="0" w:color="auto"/>
            <w:bottom w:val="none" w:sz="0" w:space="0" w:color="auto"/>
            <w:right w:val="none" w:sz="0" w:space="0" w:color="auto"/>
          </w:divBdr>
        </w:div>
      </w:divsChild>
    </w:div>
    <w:div w:id="842235628">
      <w:bodyDiv w:val="1"/>
      <w:marLeft w:val="0"/>
      <w:marRight w:val="0"/>
      <w:marTop w:val="0"/>
      <w:marBottom w:val="0"/>
      <w:divBdr>
        <w:top w:val="none" w:sz="0" w:space="0" w:color="auto"/>
        <w:left w:val="none" w:sz="0" w:space="0" w:color="auto"/>
        <w:bottom w:val="none" w:sz="0" w:space="0" w:color="auto"/>
        <w:right w:val="none" w:sz="0" w:space="0" w:color="auto"/>
      </w:divBdr>
    </w:div>
    <w:div w:id="843592134">
      <w:bodyDiv w:val="1"/>
      <w:marLeft w:val="0"/>
      <w:marRight w:val="0"/>
      <w:marTop w:val="0"/>
      <w:marBottom w:val="0"/>
      <w:divBdr>
        <w:top w:val="none" w:sz="0" w:space="0" w:color="auto"/>
        <w:left w:val="none" w:sz="0" w:space="0" w:color="auto"/>
        <w:bottom w:val="none" w:sz="0" w:space="0" w:color="auto"/>
        <w:right w:val="none" w:sz="0" w:space="0" w:color="auto"/>
      </w:divBdr>
    </w:div>
    <w:div w:id="850339009">
      <w:bodyDiv w:val="1"/>
      <w:marLeft w:val="0"/>
      <w:marRight w:val="0"/>
      <w:marTop w:val="0"/>
      <w:marBottom w:val="0"/>
      <w:divBdr>
        <w:top w:val="none" w:sz="0" w:space="0" w:color="auto"/>
        <w:left w:val="none" w:sz="0" w:space="0" w:color="auto"/>
        <w:bottom w:val="none" w:sz="0" w:space="0" w:color="auto"/>
        <w:right w:val="none" w:sz="0" w:space="0" w:color="auto"/>
      </w:divBdr>
    </w:div>
    <w:div w:id="853031754">
      <w:bodyDiv w:val="1"/>
      <w:marLeft w:val="0"/>
      <w:marRight w:val="0"/>
      <w:marTop w:val="0"/>
      <w:marBottom w:val="0"/>
      <w:divBdr>
        <w:top w:val="none" w:sz="0" w:space="0" w:color="auto"/>
        <w:left w:val="none" w:sz="0" w:space="0" w:color="auto"/>
        <w:bottom w:val="none" w:sz="0" w:space="0" w:color="auto"/>
        <w:right w:val="none" w:sz="0" w:space="0" w:color="auto"/>
      </w:divBdr>
    </w:div>
    <w:div w:id="876963900">
      <w:bodyDiv w:val="1"/>
      <w:marLeft w:val="0"/>
      <w:marRight w:val="0"/>
      <w:marTop w:val="0"/>
      <w:marBottom w:val="0"/>
      <w:divBdr>
        <w:top w:val="none" w:sz="0" w:space="0" w:color="auto"/>
        <w:left w:val="none" w:sz="0" w:space="0" w:color="auto"/>
        <w:bottom w:val="none" w:sz="0" w:space="0" w:color="auto"/>
        <w:right w:val="none" w:sz="0" w:space="0" w:color="auto"/>
      </w:divBdr>
    </w:div>
    <w:div w:id="879707722">
      <w:bodyDiv w:val="1"/>
      <w:marLeft w:val="0"/>
      <w:marRight w:val="0"/>
      <w:marTop w:val="0"/>
      <w:marBottom w:val="0"/>
      <w:divBdr>
        <w:top w:val="none" w:sz="0" w:space="0" w:color="auto"/>
        <w:left w:val="none" w:sz="0" w:space="0" w:color="auto"/>
        <w:bottom w:val="none" w:sz="0" w:space="0" w:color="auto"/>
        <w:right w:val="none" w:sz="0" w:space="0" w:color="auto"/>
      </w:divBdr>
      <w:divsChild>
        <w:div w:id="142739241">
          <w:marLeft w:val="0"/>
          <w:marRight w:val="0"/>
          <w:marTop w:val="0"/>
          <w:marBottom w:val="0"/>
          <w:divBdr>
            <w:top w:val="none" w:sz="0" w:space="0" w:color="auto"/>
            <w:left w:val="none" w:sz="0" w:space="0" w:color="auto"/>
            <w:bottom w:val="none" w:sz="0" w:space="0" w:color="auto"/>
            <w:right w:val="none" w:sz="0" w:space="0" w:color="auto"/>
          </w:divBdr>
        </w:div>
      </w:divsChild>
    </w:div>
    <w:div w:id="889800953">
      <w:bodyDiv w:val="1"/>
      <w:marLeft w:val="0"/>
      <w:marRight w:val="0"/>
      <w:marTop w:val="0"/>
      <w:marBottom w:val="0"/>
      <w:divBdr>
        <w:top w:val="none" w:sz="0" w:space="0" w:color="auto"/>
        <w:left w:val="none" w:sz="0" w:space="0" w:color="auto"/>
        <w:bottom w:val="none" w:sz="0" w:space="0" w:color="auto"/>
        <w:right w:val="none" w:sz="0" w:space="0" w:color="auto"/>
      </w:divBdr>
    </w:div>
    <w:div w:id="898901639">
      <w:bodyDiv w:val="1"/>
      <w:marLeft w:val="0"/>
      <w:marRight w:val="0"/>
      <w:marTop w:val="0"/>
      <w:marBottom w:val="0"/>
      <w:divBdr>
        <w:top w:val="none" w:sz="0" w:space="0" w:color="auto"/>
        <w:left w:val="none" w:sz="0" w:space="0" w:color="auto"/>
        <w:bottom w:val="none" w:sz="0" w:space="0" w:color="auto"/>
        <w:right w:val="none" w:sz="0" w:space="0" w:color="auto"/>
      </w:divBdr>
    </w:div>
    <w:div w:id="912397893">
      <w:bodyDiv w:val="1"/>
      <w:marLeft w:val="0"/>
      <w:marRight w:val="0"/>
      <w:marTop w:val="0"/>
      <w:marBottom w:val="0"/>
      <w:divBdr>
        <w:top w:val="none" w:sz="0" w:space="0" w:color="auto"/>
        <w:left w:val="none" w:sz="0" w:space="0" w:color="auto"/>
        <w:bottom w:val="none" w:sz="0" w:space="0" w:color="auto"/>
        <w:right w:val="none" w:sz="0" w:space="0" w:color="auto"/>
      </w:divBdr>
    </w:div>
    <w:div w:id="920649991">
      <w:bodyDiv w:val="1"/>
      <w:marLeft w:val="0"/>
      <w:marRight w:val="0"/>
      <w:marTop w:val="0"/>
      <w:marBottom w:val="0"/>
      <w:divBdr>
        <w:top w:val="none" w:sz="0" w:space="0" w:color="auto"/>
        <w:left w:val="none" w:sz="0" w:space="0" w:color="auto"/>
        <w:bottom w:val="none" w:sz="0" w:space="0" w:color="auto"/>
        <w:right w:val="none" w:sz="0" w:space="0" w:color="auto"/>
      </w:divBdr>
    </w:div>
    <w:div w:id="924537976">
      <w:bodyDiv w:val="1"/>
      <w:marLeft w:val="0"/>
      <w:marRight w:val="0"/>
      <w:marTop w:val="0"/>
      <w:marBottom w:val="0"/>
      <w:divBdr>
        <w:top w:val="none" w:sz="0" w:space="0" w:color="auto"/>
        <w:left w:val="none" w:sz="0" w:space="0" w:color="auto"/>
        <w:bottom w:val="none" w:sz="0" w:space="0" w:color="auto"/>
        <w:right w:val="none" w:sz="0" w:space="0" w:color="auto"/>
      </w:divBdr>
      <w:divsChild>
        <w:div w:id="1104763742">
          <w:marLeft w:val="0"/>
          <w:marRight w:val="0"/>
          <w:marTop w:val="0"/>
          <w:marBottom w:val="0"/>
          <w:divBdr>
            <w:top w:val="none" w:sz="0" w:space="0" w:color="auto"/>
            <w:left w:val="none" w:sz="0" w:space="0" w:color="auto"/>
            <w:bottom w:val="none" w:sz="0" w:space="0" w:color="auto"/>
            <w:right w:val="none" w:sz="0" w:space="0" w:color="auto"/>
          </w:divBdr>
        </w:div>
        <w:div w:id="1445004080">
          <w:marLeft w:val="0"/>
          <w:marRight w:val="0"/>
          <w:marTop w:val="0"/>
          <w:marBottom w:val="0"/>
          <w:divBdr>
            <w:top w:val="none" w:sz="0" w:space="0" w:color="auto"/>
            <w:left w:val="none" w:sz="0" w:space="0" w:color="auto"/>
            <w:bottom w:val="none" w:sz="0" w:space="0" w:color="auto"/>
            <w:right w:val="none" w:sz="0" w:space="0" w:color="auto"/>
          </w:divBdr>
        </w:div>
        <w:div w:id="2044088548">
          <w:marLeft w:val="0"/>
          <w:marRight w:val="0"/>
          <w:marTop w:val="0"/>
          <w:marBottom w:val="0"/>
          <w:divBdr>
            <w:top w:val="none" w:sz="0" w:space="0" w:color="auto"/>
            <w:left w:val="none" w:sz="0" w:space="0" w:color="auto"/>
            <w:bottom w:val="none" w:sz="0" w:space="0" w:color="auto"/>
            <w:right w:val="none" w:sz="0" w:space="0" w:color="auto"/>
          </w:divBdr>
        </w:div>
      </w:divsChild>
    </w:div>
    <w:div w:id="925265462">
      <w:bodyDiv w:val="1"/>
      <w:marLeft w:val="0"/>
      <w:marRight w:val="0"/>
      <w:marTop w:val="0"/>
      <w:marBottom w:val="0"/>
      <w:divBdr>
        <w:top w:val="none" w:sz="0" w:space="0" w:color="auto"/>
        <w:left w:val="none" w:sz="0" w:space="0" w:color="auto"/>
        <w:bottom w:val="none" w:sz="0" w:space="0" w:color="auto"/>
        <w:right w:val="none" w:sz="0" w:space="0" w:color="auto"/>
      </w:divBdr>
    </w:div>
    <w:div w:id="927806879">
      <w:bodyDiv w:val="1"/>
      <w:marLeft w:val="0"/>
      <w:marRight w:val="0"/>
      <w:marTop w:val="0"/>
      <w:marBottom w:val="0"/>
      <w:divBdr>
        <w:top w:val="none" w:sz="0" w:space="0" w:color="auto"/>
        <w:left w:val="none" w:sz="0" w:space="0" w:color="auto"/>
        <w:bottom w:val="none" w:sz="0" w:space="0" w:color="auto"/>
        <w:right w:val="none" w:sz="0" w:space="0" w:color="auto"/>
      </w:divBdr>
    </w:div>
    <w:div w:id="939339916">
      <w:bodyDiv w:val="1"/>
      <w:marLeft w:val="0"/>
      <w:marRight w:val="0"/>
      <w:marTop w:val="0"/>
      <w:marBottom w:val="0"/>
      <w:divBdr>
        <w:top w:val="none" w:sz="0" w:space="0" w:color="auto"/>
        <w:left w:val="none" w:sz="0" w:space="0" w:color="auto"/>
        <w:bottom w:val="none" w:sz="0" w:space="0" w:color="auto"/>
        <w:right w:val="none" w:sz="0" w:space="0" w:color="auto"/>
      </w:divBdr>
    </w:div>
    <w:div w:id="947809614">
      <w:bodyDiv w:val="1"/>
      <w:marLeft w:val="0"/>
      <w:marRight w:val="0"/>
      <w:marTop w:val="0"/>
      <w:marBottom w:val="0"/>
      <w:divBdr>
        <w:top w:val="none" w:sz="0" w:space="0" w:color="auto"/>
        <w:left w:val="none" w:sz="0" w:space="0" w:color="auto"/>
        <w:bottom w:val="none" w:sz="0" w:space="0" w:color="auto"/>
        <w:right w:val="none" w:sz="0" w:space="0" w:color="auto"/>
      </w:divBdr>
    </w:div>
    <w:div w:id="971982557">
      <w:bodyDiv w:val="1"/>
      <w:marLeft w:val="0"/>
      <w:marRight w:val="0"/>
      <w:marTop w:val="0"/>
      <w:marBottom w:val="0"/>
      <w:divBdr>
        <w:top w:val="none" w:sz="0" w:space="0" w:color="auto"/>
        <w:left w:val="none" w:sz="0" w:space="0" w:color="auto"/>
        <w:bottom w:val="none" w:sz="0" w:space="0" w:color="auto"/>
        <w:right w:val="none" w:sz="0" w:space="0" w:color="auto"/>
      </w:divBdr>
    </w:div>
    <w:div w:id="991062019">
      <w:bodyDiv w:val="1"/>
      <w:marLeft w:val="0"/>
      <w:marRight w:val="0"/>
      <w:marTop w:val="0"/>
      <w:marBottom w:val="0"/>
      <w:divBdr>
        <w:top w:val="none" w:sz="0" w:space="0" w:color="auto"/>
        <w:left w:val="none" w:sz="0" w:space="0" w:color="auto"/>
        <w:bottom w:val="none" w:sz="0" w:space="0" w:color="auto"/>
        <w:right w:val="none" w:sz="0" w:space="0" w:color="auto"/>
      </w:divBdr>
    </w:div>
    <w:div w:id="999893949">
      <w:bodyDiv w:val="1"/>
      <w:marLeft w:val="150"/>
      <w:marRight w:val="0"/>
      <w:marTop w:val="0"/>
      <w:marBottom w:val="0"/>
      <w:divBdr>
        <w:top w:val="none" w:sz="0" w:space="0" w:color="auto"/>
        <w:left w:val="none" w:sz="0" w:space="0" w:color="auto"/>
        <w:bottom w:val="none" w:sz="0" w:space="0" w:color="auto"/>
        <w:right w:val="none" w:sz="0" w:space="0" w:color="auto"/>
      </w:divBdr>
      <w:divsChild>
        <w:div w:id="2014448532">
          <w:marLeft w:val="0"/>
          <w:marRight w:val="1"/>
          <w:marTop w:val="0"/>
          <w:marBottom w:val="0"/>
          <w:divBdr>
            <w:top w:val="none" w:sz="0" w:space="0" w:color="auto"/>
            <w:left w:val="none" w:sz="0" w:space="0" w:color="auto"/>
            <w:bottom w:val="none" w:sz="0" w:space="0" w:color="auto"/>
            <w:right w:val="none" w:sz="0" w:space="0" w:color="auto"/>
          </w:divBdr>
        </w:div>
      </w:divsChild>
    </w:div>
    <w:div w:id="1002926915">
      <w:bodyDiv w:val="1"/>
      <w:marLeft w:val="0"/>
      <w:marRight w:val="0"/>
      <w:marTop w:val="0"/>
      <w:marBottom w:val="0"/>
      <w:divBdr>
        <w:top w:val="none" w:sz="0" w:space="0" w:color="auto"/>
        <w:left w:val="none" w:sz="0" w:space="0" w:color="auto"/>
        <w:bottom w:val="none" w:sz="0" w:space="0" w:color="auto"/>
        <w:right w:val="none" w:sz="0" w:space="0" w:color="auto"/>
      </w:divBdr>
      <w:divsChild>
        <w:div w:id="1588340607">
          <w:marLeft w:val="0"/>
          <w:marRight w:val="0"/>
          <w:marTop w:val="0"/>
          <w:marBottom w:val="0"/>
          <w:divBdr>
            <w:top w:val="none" w:sz="0" w:space="0" w:color="auto"/>
            <w:left w:val="none" w:sz="0" w:space="0" w:color="auto"/>
            <w:bottom w:val="none" w:sz="0" w:space="0" w:color="auto"/>
            <w:right w:val="none" w:sz="0" w:space="0" w:color="auto"/>
          </w:divBdr>
        </w:div>
      </w:divsChild>
    </w:div>
    <w:div w:id="1019086149">
      <w:bodyDiv w:val="1"/>
      <w:marLeft w:val="0"/>
      <w:marRight w:val="0"/>
      <w:marTop w:val="0"/>
      <w:marBottom w:val="0"/>
      <w:divBdr>
        <w:top w:val="none" w:sz="0" w:space="0" w:color="auto"/>
        <w:left w:val="none" w:sz="0" w:space="0" w:color="auto"/>
        <w:bottom w:val="none" w:sz="0" w:space="0" w:color="auto"/>
        <w:right w:val="none" w:sz="0" w:space="0" w:color="auto"/>
      </w:divBdr>
    </w:div>
    <w:div w:id="1044139974">
      <w:bodyDiv w:val="1"/>
      <w:marLeft w:val="0"/>
      <w:marRight w:val="0"/>
      <w:marTop w:val="0"/>
      <w:marBottom w:val="0"/>
      <w:divBdr>
        <w:top w:val="none" w:sz="0" w:space="0" w:color="auto"/>
        <w:left w:val="none" w:sz="0" w:space="0" w:color="auto"/>
        <w:bottom w:val="none" w:sz="0" w:space="0" w:color="auto"/>
        <w:right w:val="none" w:sz="0" w:space="0" w:color="auto"/>
      </w:divBdr>
    </w:div>
    <w:div w:id="1053851044">
      <w:bodyDiv w:val="1"/>
      <w:marLeft w:val="0"/>
      <w:marRight w:val="0"/>
      <w:marTop w:val="0"/>
      <w:marBottom w:val="0"/>
      <w:divBdr>
        <w:top w:val="none" w:sz="0" w:space="0" w:color="auto"/>
        <w:left w:val="none" w:sz="0" w:space="0" w:color="auto"/>
        <w:bottom w:val="none" w:sz="0" w:space="0" w:color="auto"/>
        <w:right w:val="none" w:sz="0" w:space="0" w:color="auto"/>
      </w:divBdr>
    </w:div>
    <w:div w:id="1059942241">
      <w:bodyDiv w:val="1"/>
      <w:marLeft w:val="0"/>
      <w:marRight w:val="0"/>
      <w:marTop w:val="0"/>
      <w:marBottom w:val="0"/>
      <w:divBdr>
        <w:top w:val="none" w:sz="0" w:space="0" w:color="auto"/>
        <w:left w:val="none" w:sz="0" w:space="0" w:color="auto"/>
        <w:bottom w:val="none" w:sz="0" w:space="0" w:color="auto"/>
        <w:right w:val="none" w:sz="0" w:space="0" w:color="auto"/>
      </w:divBdr>
    </w:div>
    <w:div w:id="1079133755">
      <w:bodyDiv w:val="1"/>
      <w:marLeft w:val="0"/>
      <w:marRight w:val="0"/>
      <w:marTop w:val="0"/>
      <w:marBottom w:val="0"/>
      <w:divBdr>
        <w:top w:val="none" w:sz="0" w:space="0" w:color="auto"/>
        <w:left w:val="none" w:sz="0" w:space="0" w:color="auto"/>
        <w:bottom w:val="none" w:sz="0" w:space="0" w:color="auto"/>
        <w:right w:val="none" w:sz="0" w:space="0" w:color="auto"/>
      </w:divBdr>
    </w:div>
    <w:div w:id="1091007259">
      <w:bodyDiv w:val="1"/>
      <w:marLeft w:val="0"/>
      <w:marRight w:val="0"/>
      <w:marTop w:val="0"/>
      <w:marBottom w:val="0"/>
      <w:divBdr>
        <w:top w:val="none" w:sz="0" w:space="0" w:color="auto"/>
        <w:left w:val="none" w:sz="0" w:space="0" w:color="auto"/>
        <w:bottom w:val="none" w:sz="0" w:space="0" w:color="auto"/>
        <w:right w:val="none" w:sz="0" w:space="0" w:color="auto"/>
      </w:divBdr>
    </w:div>
    <w:div w:id="1098334973">
      <w:bodyDiv w:val="1"/>
      <w:marLeft w:val="0"/>
      <w:marRight w:val="0"/>
      <w:marTop w:val="0"/>
      <w:marBottom w:val="0"/>
      <w:divBdr>
        <w:top w:val="none" w:sz="0" w:space="0" w:color="auto"/>
        <w:left w:val="none" w:sz="0" w:space="0" w:color="auto"/>
        <w:bottom w:val="none" w:sz="0" w:space="0" w:color="auto"/>
        <w:right w:val="none" w:sz="0" w:space="0" w:color="auto"/>
      </w:divBdr>
    </w:div>
    <w:div w:id="1103382311">
      <w:bodyDiv w:val="1"/>
      <w:marLeft w:val="0"/>
      <w:marRight w:val="0"/>
      <w:marTop w:val="0"/>
      <w:marBottom w:val="0"/>
      <w:divBdr>
        <w:top w:val="none" w:sz="0" w:space="0" w:color="auto"/>
        <w:left w:val="none" w:sz="0" w:space="0" w:color="auto"/>
        <w:bottom w:val="none" w:sz="0" w:space="0" w:color="auto"/>
        <w:right w:val="none" w:sz="0" w:space="0" w:color="auto"/>
      </w:divBdr>
    </w:div>
    <w:div w:id="1105881466">
      <w:bodyDiv w:val="1"/>
      <w:marLeft w:val="0"/>
      <w:marRight w:val="0"/>
      <w:marTop w:val="0"/>
      <w:marBottom w:val="0"/>
      <w:divBdr>
        <w:top w:val="none" w:sz="0" w:space="0" w:color="auto"/>
        <w:left w:val="none" w:sz="0" w:space="0" w:color="auto"/>
        <w:bottom w:val="none" w:sz="0" w:space="0" w:color="auto"/>
        <w:right w:val="none" w:sz="0" w:space="0" w:color="auto"/>
      </w:divBdr>
    </w:div>
    <w:div w:id="1106274033">
      <w:bodyDiv w:val="1"/>
      <w:marLeft w:val="0"/>
      <w:marRight w:val="0"/>
      <w:marTop w:val="0"/>
      <w:marBottom w:val="0"/>
      <w:divBdr>
        <w:top w:val="none" w:sz="0" w:space="0" w:color="auto"/>
        <w:left w:val="none" w:sz="0" w:space="0" w:color="auto"/>
        <w:bottom w:val="none" w:sz="0" w:space="0" w:color="auto"/>
        <w:right w:val="none" w:sz="0" w:space="0" w:color="auto"/>
      </w:divBdr>
    </w:div>
    <w:div w:id="1107890750">
      <w:bodyDiv w:val="1"/>
      <w:marLeft w:val="0"/>
      <w:marRight w:val="0"/>
      <w:marTop w:val="0"/>
      <w:marBottom w:val="0"/>
      <w:divBdr>
        <w:top w:val="none" w:sz="0" w:space="0" w:color="auto"/>
        <w:left w:val="none" w:sz="0" w:space="0" w:color="auto"/>
        <w:bottom w:val="none" w:sz="0" w:space="0" w:color="auto"/>
        <w:right w:val="none" w:sz="0" w:space="0" w:color="auto"/>
      </w:divBdr>
    </w:div>
    <w:div w:id="1121992933">
      <w:bodyDiv w:val="1"/>
      <w:marLeft w:val="0"/>
      <w:marRight w:val="0"/>
      <w:marTop w:val="0"/>
      <w:marBottom w:val="0"/>
      <w:divBdr>
        <w:top w:val="none" w:sz="0" w:space="0" w:color="auto"/>
        <w:left w:val="none" w:sz="0" w:space="0" w:color="auto"/>
        <w:bottom w:val="none" w:sz="0" w:space="0" w:color="auto"/>
        <w:right w:val="none" w:sz="0" w:space="0" w:color="auto"/>
      </w:divBdr>
    </w:div>
    <w:div w:id="1126967682">
      <w:bodyDiv w:val="1"/>
      <w:marLeft w:val="0"/>
      <w:marRight w:val="0"/>
      <w:marTop w:val="0"/>
      <w:marBottom w:val="0"/>
      <w:divBdr>
        <w:top w:val="none" w:sz="0" w:space="0" w:color="auto"/>
        <w:left w:val="none" w:sz="0" w:space="0" w:color="auto"/>
        <w:bottom w:val="none" w:sz="0" w:space="0" w:color="auto"/>
        <w:right w:val="none" w:sz="0" w:space="0" w:color="auto"/>
      </w:divBdr>
      <w:divsChild>
        <w:div w:id="31536784">
          <w:marLeft w:val="6"/>
          <w:marRight w:val="0"/>
          <w:marTop w:val="0"/>
          <w:marBottom w:val="0"/>
          <w:divBdr>
            <w:top w:val="none" w:sz="0" w:space="0" w:color="auto"/>
            <w:left w:val="none" w:sz="0" w:space="0" w:color="auto"/>
            <w:bottom w:val="none" w:sz="0" w:space="0" w:color="auto"/>
            <w:right w:val="none" w:sz="0" w:space="0" w:color="auto"/>
          </w:divBdr>
          <w:divsChild>
            <w:div w:id="3243230">
              <w:marLeft w:val="200"/>
              <w:marRight w:val="0"/>
              <w:marTop w:val="0"/>
              <w:marBottom w:val="0"/>
              <w:divBdr>
                <w:top w:val="none" w:sz="0" w:space="0" w:color="auto"/>
                <w:left w:val="none" w:sz="0" w:space="0" w:color="auto"/>
                <w:bottom w:val="none" w:sz="0" w:space="0" w:color="auto"/>
                <w:right w:val="none" w:sz="0" w:space="0" w:color="auto"/>
              </w:divBdr>
            </w:div>
            <w:div w:id="221983800">
              <w:marLeft w:val="200"/>
              <w:marRight w:val="0"/>
              <w:marTop w:val="0"/>
              <w:marBottom w:val="0"/>
              <w:divBdr>
                <w:top w:val="none" w:sz="0" w:space="0" w:color="auto"/>
                <w:left w:val="none" w:sz="0" w:space="0" w:color="auto"/>
                <w:bottom w:val="none" w:sz="0" w:space="0" w:color="auto"/>
                <w:right w:val="none" w:sz="0" w:space="0" w:color="auto"/>
              </w:divBdr>
            </w:div>
            <w:div w:id="262615179">
              <w:marLeft w:val="200"/>
              <w:marRight w:val="0"/>
              <w:marTop w:val="0"/>
              <w:marBottom w:val="0"/>
              <w:divBdr>
                <w:top w:val="none" w:sz="0" w:space="0" w:color="auto"/>
                <w:left w:val="none" w:sz="0" w:space="0" w:color="auto"/>
                <w:bottom w:val="none" w:sz="0" w:space="0" w:color="auto"/>
                <w:right w:val="none" w:sz="0" w:space="0" w:color="auto"/>
              </w:divBdr>
            </w:div>
            <w:div w:id="329602431">
              <w:marLeft w:val="200"/>
              <w:marRight w:val="0"/>
              <w:marTop w:val="0"/>
              <w:marBottom w:val="0"/>
              <w:divBdr>
                <w:top w:val="none" w:sz="0" w:space="0" w:color="auto"/>
                <w:left w:val="none" w:sz="0" w:space="0" w:color="auto"/>
                <w:bottom w:val="none" w:sz="0" w:space="0" w:color="auto"/>
                <w:right w:val="none" w:sz="0" w:space="0" w:color="auto"/>
              </w:divBdr>
            </w:div>
            <w:div w:id="516045510">
              <w:marLeft w:val="200"/>
              <w:marRight w:val="0"/>
              <w:marTop w:val="0"/>
              <w:marBottom w:val="0"/>
              <w:divBdr>
                <w:top w:val="none" w:sz="0" w:space="0" w:color="auto"/>
                <w:left w:val="none" w:sz="0" w:space="0" w:color="auto"/>
                <w:bottom w:val="none" w:sz="0" w:space="0" w:color="auto"/>
                <w:right w:val="none" w:sz="0" w:space="0" w:color="auto"/>
              </w:divBdr>
            </w:div>
            <w:div w:id="577635819">
              <w:marLeft w:val="200"/>
              <w:marRight w:val="0"/>
              <w:marTop w:val="0"/>
              <w:marBottom w:val="0"/>
              <w:divBdr>
                <w:top w:val="none" w:sz="0" w:space="0" w:color="auto"/>
                <w:left w:val="none" w:sz="0" w:space="0" w:color="auto"/>
                <w:bottom w:val="none" w:sz="0" w:space="0" w:color="auto"/>
                <w:right w:val="none" w:sz="0" w:space="0" w:color="auto"/>
              </w:divBdr>
            </w:div>
            <w:div w:id="596670037">
              <w:marLeft w:val="0"/>
              <w:marRight w:val="0"/>
              <w:marTop w:val="240"/>
              <w:marBottom w:val="0"/>
              <w:divBdr>
                <w:top w:val="none" w:sz="0" w:space="0" w:color="auto"/>
                <w:left w:val="none" w:sz="0" w:space="0" w:color="auto"/>
                <w:bottom w:val="none" w:sz="0" w:space="0" w:color="auto"/>
                <w:right w:val="none" w:sz="0" w:space="0" w:color="auto"/>
              </w:divBdr>
            </w:div>
            <w:div w:id="604847124">
              <w:marLeft w:val="200"/>
              <w:marRight w:val="0"/>
              <w:marTop w:val="0"/>
              <w:marBottom w:val="0"/>
              <w:divBdr>
                <w:top w:val="none" w:sz="0" w:space="0" w:color="auto"/>
                <w:left w:val="none" w:sz="0" w:space="0" w:color="auto"/>
                <w:bottom w:val="none" w:sz="0" w:space="0" w:color="auto"/>
                <w:right w:val="none" w:sz="0" w:space="0" w:color="auto"/>
              </w:divBdr>
            </w:div>
            <w:div w:id="656106407">
              <w:marLeft w:val="200"/>
              <w:marRight w:val="0"/>
              <w:marTop w:val="0"/>
              <w:marBottom w:val="0"/>
              <w:divBdr>
                <w:top w:val="none" w:sz="0" w:space="0" w:color="auto"/>
                <w:left w:val="none" w:sz="0" w:space="0" w:color="auto"/>
                <w:bottom w:val="none" w:sz="0" w:space="0" w:color="auto"/>
                <w:right w:val="none" w:sz="0" w:space="0" w:color="auto"/>
              </w:divBdr>
            </w:div>
            <w:div w:id="665596120">
              <w:marLeft w:val="200"/>
              <w:marRight w:val="0"/>
              <w:marTop w:val="0"/>
              <w:marBottom w:val="0"/>
              <w:divBdr>
                <w:top w:val="none" w:sz="0" w:space="0" w:color="auto"/>
                <w:left w:val="none" w:sz="0" w:space="0" w:color="auto"/>
                <w:bottom w:val="none" w:sz="0" w:space="0" w:color="auto"/>
                <w:right w:val="none" w:sz="0" w:space="0" w:color="auto"/>
              </w:divBdr>
            </w:div>
            <w:div w:id="896361226">
              <w:marLeft w:val="200"/>
              <w:marRight w:val="0"/>
              <w:marTop w:val="0"/>
              <w:marBottom w:val="0"/>
              <w:divBdr>
                <w:top w:val="none" w:sz="0" w:space="0" w:color="auto"/>
                <w:left w:val="none" w:sz="0" w:space="0" w:color="auto"/>
                <w:bottom w:val="none" w:sz="0" w:space="0" w:color="auto"/>
                <w:right w:val="none" w:sz="0" w:space="0" w:color="auto"/>
              </w:divBdr>
            </w:div>
            <w:div w:id="991253435">
              <w:marLeft w:val="200"/>
              <w:marRight w:val="0"/>
              <w:marTop w:val="0"/>
              <w:marBottom w:val="0"/>
              <w:divBdr>
                <w:top w:val="none" w:sz="0" w:space="0" w:color="auto"/>
                <w:left w:val="none" w:sz="0" w:space="0" w:color="auto"/>
                <w:bottom w:val="none" w:sz="0" w:space="0" w:color="auto"/>
                <w:right w:val="none" w:sz="0" w:space="0" w:color="auto"/>
              </w:divBdr>
            </w:div>
            <w:div w:id="1176530196">
              <w:marLeft w:val="200"/>
              <w:marRight w:val="0"/>
              <w:marTop w:val="0"/>
              <w:marBottom w:val="0"/>
              <w:divBdr>
                <w:top w:val="none" w:sz="0" w:space="0" w:color="auto"/>
                <w:left w:val="none" w:sz="0" w:space="0" w:color="auto"/>
                <w:bottom w:val="none" w:sz="0" w:space="0" w:color="auto"/>
                <w:right w:val="none" w:sz="0" w:space="0" w:color="auto"/>
              </w:divBdr>
            </w:div>
            <w:div w:id="1210219031">
              <w:marLeft w:val="200"/>
              <w:marRight w:val="0"/>
              <w:marTop w:val="0"/>
              <w:marBottom w:val="0"/>
              <w:divBdr>
                <w:top w:val="none" w:sz="0" w:space="0" w:color="auto"/>
                <w:left w:val="none" w:sz="0" w:space="0" w:color="auto"/>
                <w:bottom w:val="none" w:sz="0" w:space="0" w:color="auto"/>
                <w:right w:val="none" w:sz="0" w:space="0" w:color="auto"/>
              </w:divBdr>
            </w:div>
            <w:div w:id="1356033990">
              <w:marLeft w:val="200"/>
              <w:marRight w:val="0"/>
              <w:marTop w:val="0"/>
              <w:marBottom w:val="0"/>
              <w:divBdr>
                <w:top w:val="none" w:sz="0" w:space="0" w:color="auto"/>
                <w:left w:val="none" w:sz="0" w:space="0" w:color="auto"/>
                <w:bottom w:val="none" w:sz="0" w:space="0" w:color="auto"/>
                <w:right w:val="none" w:sz="0" w:space="0" w:color="auto"/>
              </w:divBdr>
            </w:div>
            <w:div w:id="1399013443">
              <w:marLeft w:val="200"/>
              <w:marRight w:val="0"/>
              <w:marTop w:val="0"/>
              <w:marBottom w:val="0"/>
              <w:divBdr>
                <w:top w:val="none" w:sz="0" w:space="0" w:color="auto"/>
                <w:left w:val="none" w:sz="0" w:space="0" w:color="auto"/>
                <w:bottom w:val="none" w:sz="0" w:space="0" w:color="auto"/>
                <w:right w:val="none" w:sz="0" w:space="0" w:color="auto"/>
              </w:divBdr>
            </w:div>
            <w:div w:id="1430345867">
              <w:marLeft w:val="200"/>
              <w:marRight w:val="0"/>
              <w:marTop w:val="0"/>
              <w:marBottom w:val="0"/>
              <w:divBdr>
                <w:top w:val="none" w:sz="0" w:space="0" w:color="auto"/>
                <w:left w:val="none" w:sz="0" w:space="0" w:color="auto"/>
                <w:bottom w:val="none" w:sz="0" w:space="0" w:color="auto"/>
                <w:right w:val="none" w:sz="0" w:space="0" w:color="auto"/>
              </w:divBdr>
            </w:div>
            <w:div w:id="1442919360">
              <w:marLeft w:val="200"/>
              <w:marRight w:val="0"/>
              <w:marTop w:val="0"/>
              <w:marBottom w:val="0"/>
              <w:divBdr>
                <w:top w:val="none" w:sz="0" w:space="0" w:color="auto"/>
                <w:left w:val="none" w:sz="0" w:space="0" w:color="auto"/>
                <w:bottom w:val="none" w:sz="0" w:space="0" w:color="auto"/>
                <w:right w:val="none" w:sz="0" w:space="0" w:color="auto"/>
              </w:divBdr>
            </w:div>
            <w:div w:id="1505702950">
              <w:marLeft w:val="200"/>
              <w:marRight w:val="0"/>
              <w:marTop w:val="0"/>
              <w:marBottom w:val="0"/>
              <w:divBdr>
                <w:top w:val="none" w:sz="0" w:space="0" w:color="auto"/>
                <w:left w:val="none" w:sz="0" w:space="0" w:color="auto"/>
                <w:bottom w:val="none" w:sz="0" w:space="0" w:color="auto"/>
                <w:right w:val="none" w:sz="0" w:space="0" w:color="auto"/>
              </w:divBdr>
            </w:div>
            <w:div w:id="1572738924">
              <w:marLeft w:val="200"/>
              <w:marRight w:val="0"/>
              <w:marTop w:val="0"/>
              <w:marBottom w:val="0"/>
              <w:divBdr>
                <w:top w:val="none" w:sz="0" w:space="0" w:color="auto"/>
                <w:left w:val="none" w:sz="0" w:space="0" w:color="auto"/>
                <w:bottom w:val="none" w:sz="0" w:space="0" w:color="auto"/>
                <w:right w:val="none" w:sz="0" w:space="0" w:color="auto"/>
              </w:divBdr>
            </w:div>
            <w:div w:id="1601908067">
              <w:marLeft w:val="200"/>
              <w:marRight w:val="0"/>
              <w:marTop w:val="0"/>
              <w:marBottom w:val="0"/>
              <w:divBdr>
                <w:top w:val="none" w:sz="0" w:space="0" w:color="auto"/>
                <w:left w:val="none" w:sz="0" w:space="0" w:color="auto"/>
                <w:bottom w:val="none" w:sz="0" w:space="0" w:color="auto"/>
                <w:right w:val="none" w:sz="0" w:space="0" w:color="auto"/>
              </w:divBdr>
            </w:div>
            <w:div w:id="1639265711">
              <w:marLeft w:val="200"/>
              <w:marRight w:val="0"/>
              <w:marTop w:val="0"/>
              <w:marBottom w:val="0"/>
              <w:divBdr>
                <w:top w:val="none" w:sz="0" w:space="0" w:color="auto"/>
                <w:left w:val="none" w:sz="0" w:space="0" w:color="auto"/>
                <w:bottom w:val="none" w:sz="0" w:space="0" w:color="auto"/>
                <w:right w:val="none" w:sz="0" w:space="0" w:color="auto"/>
              </w:divBdr>
            </w:div>
            <w:div w:id="1661275289">
              <w:marLeft w:val="200"/>
              <w:marRight w:val="0"/>
              <w:marTop w:val="0"/>
              <w:marBottom w:val="0"/>
              <w:divBdr>
                <w:top w:val="none" w:sz="0" w:space="0" w:color="auto"/>
                <w:left w:val="none" w:sz="0" w:space="0" w:color="auto"/>
                <w:bottom w:val="none" w:sz="0" w:space="0" w:color="auto"/>
                <w:right w:val="none" w:sz="0" w:space="0" w:color="auto"/>
              </w:divBdr>
            </w:div>
            <w:div w:id="1712998939">
              <w:marLeft w:val="200"/>
              <w:marRight w:val="0"/>
              <w:marTop w:val="0"/>
              <w:marBottom w:val="0"/>
              <w:divBdr>
                <w:top w:val="none" w:sz="0" w:space="0" w:color="auto"/>
                <w:left w:val="none" w:sz="0" w:space="0" w:color="auto"/>
                <w:bottom w:val="none" w:sz="0" w:space="0" w:color="auto"/>
                <w:right w:val="none" w:sz="0" w:space="0" w:color="auto"/>
              </w:divBdr>
            </w:div>
            <w:div w:id="1956669818">
              <w:marLeft w:val="200"/>
              <w:marRight w:val="0"/>
              <w:marTop w:val="0"/>
              <w:marBottom w:val="0"/>
              <w:divBdr>
                <w:top w:val="none" w:sz="0" w:space="0" w:color="auto"/>
                <w:left w:val="none" w:sz="0" w:space="0" w:color="auto"/>
                <w:bottom w:val="none" w:sz="0" w:space="0" w:color="auto"/>
                <w:right w:val="none" w:sz="0" w:space="0" w:color="auto"/>
              </w:divBdr>
            </w:div>
            <w:div w:id="206694888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132871599">
      <w:bodyDiv w:val="1"/>
      <w:marLeft w:val="0"/>
      <w:marRight w:val="0"/>
      <w:marTop w:val="0"/>
      <w:marBottom w:val="0"/>
      <w:divBdr>
        <w:top w:val="none" w:sz="0" w:space="0" w:color="auto"/>
        <w:left w:val="none" w:sz="0" w:space="0" w:color="auto"/>
        <w:bottom w:val="none" w:sz="0" w:space="0" w:color="auto"/>
        <w:right w:val="none" w:sz="0" w:space="0" w:color="auto"/>
      </w:divBdr>
    </w:div>
    <w:div w:id="1137723284">
      <w:bodyDiv w:val="1"/>
      <w:marLeft w:val="0"/>
      <w:marRight w:val="0"/>
      <w:marTop w:val="0"/>
      <w:marBottom w:val="0"/>
      <w:divBdr>
        <w:top w:val="none" w:sz="0" w:space="0" w:color="auto"/>
        <w:left w:val="none" w:sz="0" w:space="0" w:color="auto"/>
        <w:bottom w:val="none" w:sz="0" w:space="0" w:color="auto"/>
        <w:right w:val="none" w:sz="0" w:space="0" w:color="auto"/>
      </w:divBdr>
    </w:div>
    <w:div w:id="1156144244">
      <w:bodyDiv w:val="1"/>
      <w:marLeft w:val="0"/>
      <w:marRight w:val="0"/>
      <w:marTop w:val="0"/>
      <w:marBottom w:val="0"/>
      <w:divBdr>
        <w:top w:val="none" w:sz="0" w:space="0" w:color="auto"/>
        <w:left w:val="none" w:sz="0" w:space="0" w:color="auto"/>
        <w:bottom w:val="none" w:sz="0" w:space="0" w:color="auto"/>
        <w:right w:val="none" w:sz="0" w:space="0" w:color="auto"/>
      </w:divBdr>
    </w:div>
    <w:div w:id="1159540855">
      <w:bodyDiv w:val="1"/>
      <w:marLeft w:val="0"/>
      <w:marRight w:val="0"/>
      <w:marTop w:val="0"/>
      <w:marBottom w:val="0"/>
      <w:divBdr>
        <w:top w:val="none" w:sz="0" w:space="0" w:color="auto"/>
        <w:left w:val="none" w:sz="0" w:space="0" w:color="auto"/>
        <w:bottom w:val="none" w:sz="0" w:space="0" w:color="auto"/>
        <w:right w:val="none" w:sz="0" w:space="0" w:color="auto"/>
      </w:divBdr>
    </w:div>
    <w:div w:id="1160928217">
      <w:bodyDiv w:val="1"/>
      <w:marLeft w:val="0"/>
      <w:marRight w:val="0"/>
      <w:marTop w:val="0"/>
      <w:marBottom w:val="0"/>
      <w:divBdr>
        <w:top w:val="none" w:sz="0" w:space="0" w:color="auto"/>
        <w:left w:val="none" w:sz="0" w:space="0" w:color="auto"/>
        <w:bottom w:val="none" w:sz="0" w:space="0" w:color="auto"/>
        <w:right w:val="none" w:sz="0" w:space="0" w:color="auto"/>
      </w:divBdr>
    </w:div>
    <w:div w:id="1163663978">
      <w:bodyDiv w:val="1"/>
      <w:marLeft w:val="0"/>
      <w:marRight w:val="0"/>
      <w:marTop w:val="0"/>
      <w:marBottom w:val="0"/>
      <w:divBdr>
        <w:top w:val="none" w:sz="0" w:space="0" w:color="auto"/>
        <w:left w:val="none" w:sz="0" w:space="0" w:color="auto"/>
        <w:bottom w:val="none" w:sz="0" w:space="0" w:color="auto"/>
        <w:right w:val="none" w:sz="0" w:space="0" w:color="auto"/>
      </w:divBdr>
    </w:div>
    <w:div w:id="1165320995">
      <w:bodyDiv w:val="1"/>
      <w:marLeft w:val="0"/>
      <w:marRight w:val="0"/>
      <w:marTop w:val="0"/>
      <w:marBottom w:val="0"/>
      <w:divBdr>
        <w:top w:val="none" w:sz="0" w:space="0" w:color="auto"/>
        <w:left w:val="none" w:sz="0" w:space="0" w:color="auto"/>
        <w:bottom w:val="none" w:sz="0" w:space="0" w:color="auto"/>
        <w:right w:val="none" w:sz="0" w:space="0" w:color="auto"/>
      </w:divBdr>
    </w:div>
    <w:div w:id="1186022899">
      <w:bodyDiv w:val="1"/>
      <w:marLeft w:val="0"/>
      <w:marRight w:val="0"/>
      <w:marTop w:val="0"/>
      <w:marBottom w:val="0"/>
      <w:divBdr>
        <w:top w:val="none" w:sz="0" w:space="0" w:color="auto"/>
        <w:left w:val="none" w:sz="0" w:space="0" w:color="auto"/>
        <w:bottom w:val="none" w:sz="0" w:space="0" w:color="auto"/>
        <w:right w:val="none" w:sz="0" w:space="0" w:color="auto"/>
      </w:divBdr>
    </w:div>
    <w:div w:id="1201168402">
      <w:bodyDiv w:val="1"/>
      <w:marLeft w:val="0"/>
      <w:marRight w:val="0"/>
      <w:marTop w:val="0"/>
      <w:marBottom w:val="0"/>
      <w:divBdr>
        <w:top w:val="none" w:sz="0" w:space="0" w:color="auto"/>
        <w:left w:val="none" w:sz="0" w:space="0" w:color="auto"/>
        <w:bottom w:val="none" w:sz="0" w:space="0" w:color="auto"/>
        <w:right w:val="none" w:sz="0" w:space="0" w:color="auto"/>
      </w:divBdr>
    </w:div>
    <w:div w:id="1213268440">
      <w:bodyDiv w:val="1"/>
      <w:marLeft w:val="0"/>
      <w:marRight w:val="0"/>
      <w:marTop w:val="0"/>
      <w:marBottom w:val="0"/>
      <w:divBdr>
        <w:top w:val="none" w:sz="0" w:space="0" w:color="auto"/>
        <w:left w:val="none" w:sz="0" w:space="0" w:color="auto"/>
        <w:bottom w:val="none" w:sz="0" w:space="0" w:color="auto"/>
        <w:right w:val="none" w:sz="0" w:space="0" w:color="auto"/>
      </w:divBdr>
      <w:divsChild>
        <w:div w:id="120879438">
          <w:marLeft w:val="0"/>
          <w:marRight w:val="0"/>
          <w:marTop w:val="0"/>
          <w:marBottom w:val="0"/>
          <w:divBdr>
            <w:top w:val="none" w:sz="0" w:space="0" w:color="auto"/>
            <w:left w:val="none" w:sz="0" w:space="0" w:color="auto"/>
            <w:bottom w:val="none" w:sz="0" w:space="0" w:color="auto"/>
            <w:right w:val="none" w:sz="0" w:space="0" w:color="auto"/>
          </w:divBdr>
        </w:div>
        <w:div w:id="345254820">
          <w:marLeft w:val="0"/>
          <w:marRight w:val="0"/>
          <w:marTop w:val="0"/>
          <w:marBottom w:val="0"/>
          <w:divBdr>
            <w:top w:val="none" w:sz="0" w:space="0" w:color="auto"/>
            <w:left w:val="none" w:sz="0" w:space="0" w:color="auto"/>
            <w:bottom w:val="none" w:sz="0" w:space="0" w:color="auto"/>
            <w:right w:val="none" w:sz="0" w:space="0" w:color="auto"/>
          </w:divBdr>
        </w:div>
        <w:div w:id="995181770">
          <w:marLeft w:val="0"/>
          <w:marRight w:val="0"/>
          <w:marTop w:val="0"/>
          <w:marBottom w:val="0"/>
          <w:divBdr>
            <w:top w:val="none" w:sz="0" w:space="0" w:color="auto"/>
            <w:left w:val="none" w:sz="0" w:space="0" w:color="auto"/>
            <w:bottom w:val="none" w:sz="0" w:space="0" w:color="auto"/>
            <w:right w:val="none" w:sz="0" w:space="0" w:color="auto"/>
          </w:divBdr>
        </w:div>
        <w:div w:id="1439132881">
          <w:marLeft w:val="0"/>
          <w:marRight w:val="0"/>
          <w:marTop w:val="0"/>
          <w:marBottom w:val="0"/>
          <w:divBdr>
            <w:top w:val="none" w:sz="0" w:space="0" w:color="auto"/>
            <w:left w:val="none" w:sz="0" w:space="0" w:color="auto"/>
            <w:bottom w:val="none" w:sz="0" w:space="0" w:color="auto"/>
            <w:right w:val="none" w:sz="0" w:space="0" w:color="auto"/>
          </w:divBdr>
        </w:div>
      </w:divsChild>
    </w:div>
    <w:div w:id="1213692685">
      <w:bodyDiv w:val="1"/>
      <w:marLeft w:val="150"/>
      <w:marRight w:val="0"/>
      <w:marTop w:val="0"/>
      <w:marBottom w:val="0"/>
      <w:divBdr>
        <w:top w:val="none" w:sz="0" w:space="0" w:color="auto"/>
        <w:left w:val="none" w:sz="0" w:space="0" w:color="auto"/>
        <w:bottom w:val="none" w:sz="0" w:space="0" w:color="auto"/>
        <w:right w:val="none" w:sz="0" w:space="0" w:color="auto"/>
      </w:divBdr>
    </w:div>
    <w:div w:id="1216118069">
      <w:bodyDiv w:val="1"/>
      <w:marLeft w:val="0"/>
      <w:marRight w:val="0"/>
      <w:marTop w:val="0"/>
      <w:marBottom w:val="0"/>
      <w:divBdr>
        <w:top w:val="none" w:sz="0" w:space="0" w:color="auto"/>
        <w:left w:val="none" w:sz="0" w:space="0" w:color="auto"/>
        <w:bottom w:val="none" w:sz="0" w:space="0" w:color="auto"/>
        <w:right w:val="none" w:sz="0" w:space="0" w:color="auto"/>
      </w:divBdr>
    </w:div>
    <w:div w:id="1224174748">
      <w:bodyDiv w:val="1"/>
      <w:marLeft w:val="0"/>
      <w:marRight w:val="0"/>
      <w:marTop w:val="0"/>
      <w:marBottom w:val="0"/>
      <w:divBdr>
        <w:top w:val="none" w:sz="0" w:space="0" w:color="auto"/>
        <w:left w:val="none" w:sz="0" w:space="0" w:color="auto"/>
        <w:bottom w:val="none" w:sz="0" w:space="0" w:color="auto"/>
        <w:right w:val="none" w:sz="0" w:space="0" w:color="auto"/>
      </w:divBdr>
    </w:div>
    <w:div w:id="1231622276">
      <w:bodyDiv w:val="1"/>
      <w:marLeft w:val="0"/>
      <w:marRight w:val="0"/>
      <w:marTop w:val="0"/>
      <w:marBottom w:val="0"/>
      <w:divBdr>
        <w:top w:val="none" w:sz="0" w:space="0" w:color="auto"/>
        <w:left w:val="none" w:sz="0" w:space="0" w:color="auto"/>
        <w:bottom w:val="none" w:sz="0" w:space="0" w:color="auto"/>
        <w:right w:val="none" w:sz="0" w:space="0" w:color="auto"/>
      </w:divBdr>
    </w:div>
    <w:div w:id="1273979143">
      <w:bodyDiv w:val="1"/>
      <w:marLeft w:val="0"/>
      <w:marRight w:val="0"/>
      <w:marTop w:val="0"/>
      <w:marBottom w:val="0"/>
      <w:divBdr>
        <w:top w:val="none" w:sz="0" w:space="0" w:color="auto"/>
        <w:left w:val="none" w:sz="0" w:space="0" w:color="auto"/>
        <w:bottom w:val="none" w:sz="0" w:space="0" w:color="auto"/>
        <w:right w:val="none" w:sz="0" w:space="0" w:color="auto"/>
      </w:divBdr>
    </w:div>
    <w:div w:id="1277447437">
      <w:bodyDiv w:val="1"/>
      <w:marLeft w:val="150"/>
      <w:marRight w:val="0"/>
      <w:marTop w:val="0"/>
      <w:marBottom w:val="0"/>
      <w:divBdr>
        <w:top w:val="none" w:sz="0" w:space="0" w:color="auto"/>
        <w:left w:val="none" w:sz="0" w:space="0" w:color="auto"/>
        <w:bottom w:val="none" w:sz="0" w:space="0" w:color="auto"/>
        <w:right w:val="none" w:sz="0" w:space="0" w:color="auto"/>
      </w:divBdr>
      <w:divsChild>
        <w:div w:id="690180147">
          <w:marLeft w:val="0"/>
          <w:marRight w:val="0"/>
          <w:marTop w:val="0"/>
          <w:marBottom w:val="0"/>
          <w:divBdr>
            <w:top w:val="none" w:sz="0" w:space="0" w:color="auto"/>
            <w:left w:val="none" w:sz="0" w:space="0" w:color="auto"/>
            <w:bottom w:val="none" w:sz="0" w:space="0" w:color="auto"/>
            <w:right w:val="none" w:sz="0" w:space="0" w:color="auto"/>
          </w:divBdr>
        </w:div>
      </w:divsChild>
    </w:div>
    <w:div w:id="1302150853">
      <w:bodyDiv w:val="1"/>
      <w:marLeft w:val="0"/>
      <w:marRight w:val="0"/>
      <w:marTop w:val="0"/>
      <w:marBottom w:val="0"/>
      <w:divBdr>
        <w:top w:val="none" w:sz="0" w:space="0" w:color="auto"/>
        <w:left w:val="none" w:sz="0" w:space="0" w:color="auto"/>
        <w:bottom w:val="none" w:sz="0" w:space="0" w:color="auto"/>
        <w:right w:val="none" w:sz="0" w:space="0" w:color="auto"/>
      </w:divBdr>
      <w:divsChild>
        <w:div w:id="359816240">
          <w:marLeft w:val="6"/>
          <w:marRight w:val="0"/>
          <w:marTop w:val="0"/>
          <w:marBottom w:val="0"/>
          <w:divBdr>
            <w:top w:val="none" w:sz="0" w:space="0" w:color="auto"/>
            <w:left w:val="none" w:sz="0" w:space="0" w:color="auto"/>
            <w:bottom w:val="none" w:sz="0" w:space="0" w:color="auto"/>
            <w:right w:val="none" w:sz="0" w:space="0" w:color="auto"/>
          </w:divBdr>
          <w:divsChild>
            <w:div w:id="1589071687">
              <w:marLeft w:val="4"/>
              <w:marRight w:val="0"/>
              <w:marTop w:val="0"/>
              <w:marBottom w:val="0"/>
              <w:divBdr>
                <w:top w:val="none" w:sz="0" w:space="0" w:color="auto"/>
                <w:left w:val="none" w:sz="0" w:space="0" w:color="auto"/>
                <w:bottom w:val="none" w:sz="0" w:space="0" w:color="auto"/>
                <w:right w:val="none" w:sz="0" w:space="0" w:color="auto"/>
              </w:divBdr>
            </w:div>
            <w:div w:id="2076854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12058787">
      <w:bodyDiv w:val="1"/>
      <w:marLeft w:val="0"/>
      <w:marRight w:val="0"/>
      <w:marTop w:val="0"/>
      <w:marBottom w:val="0"/>
      <w:divBdr>
        <w:top w:val="none" w:sz="0" w:space="0" w:color="auto"/>
        <w:left w:val="none" w:sz="0" w:space="0" w:color="auto"/>
        <w:bottom w:val="none" w:sz="0" w:space="0" w:color="auto"/>
        <w:right w:val="none" w:sz="0" w:space="0" w:color="auto"/>
      </w:divBdr>
    </w:div>
    <w:div w:id="1315331742">
      <w:bodyDiv w:val="1"/>
      <w:marLeft w:val="0"/>
      <w:marRight w:val="0"/>
      <w:marTop w:val="0"/>
      <w:marBottom w:val="0"/>
      <w:divBdr>
        <w:top w:val="none" w:sz="0" w:space="0" w:color="auto"/>
        <w:left w:val="none" w:sz="0" w:space="0" w:color="auto"/>
        <w:bottom w:val="none" w:sz="0" w:space="0" w:color="auto"/>
        <w:right w:val="none" w:sz="0" w:space="0" w:color="auto"/>
      </w:divBdr>
    </w:div>
    <w:div w:id="1315719863">
      <w:bodyDiv w:val="1"/>
      <w:marLeft w:val="0"/>
      <w:marRight w:val="0"/>
      <w:marTop w:val="0"/>
      <w:marBottom w:val="0"/>
      <w:divBdr>
        <w:top w:val="none" w:sz="0" w:space="0" w:color="auto"/>
        <w:left w:val="none" w:sz="0" w:space="0" w:color="auto"/>
        <w:bottom w:val="none" w:sz="0" w:space="0" w:color="auto"/>
        <w:right w:val="none" w:sz="0" w:space="0" w:color="auto"/>
      </w:divBdr>
      <w:divsChild>
        <w:div w:id="1012073925">
          <w:marLeft w:val="6"/>
          <w:marRight w:val="0"/>
          <w:marTop w:val="0"/>
          <w:marBottom w:val="0"/>
          <w:divBdr>
            <w:top w:val="none" w:sz="0" w:space="0" w:color="auto"/>
            <w:left w:val="none" w:sz="0" w:space="0" w:color="auto"/>
            <w:bottom w:val="none" w:sz="0" w:space="0" w:color="auto"/>
            <w:right w:val="none" w:sz="0" w:space="0" w:color="auto"/>
          </w:divBdr>
          <w:divsChild>
            <w:div w:id="161166068">
              <w:marLeft w:val="0"/>
              <w:marRight w:val="0"/>
              <w:marTop w:val="120"/>
              <w:marBottom w:val="0"/>
              <w:divBdr>
                <w:top w:val="none" w:sz="0" w:space="0" w:color="auto"/>
                <w:left w:val="none" w:sz="0" w:space="0" w:color="auto"/>
                <w:bottom w:val="none" w:sz="0" w:space="0" w:color="auto"/>
                <w:right w:val="none" w:sz="0" w:space="0" w:color="auto"/>
              </w:divBdr>
            </w:div>
            <w:div w:id="552499881">
              <w:marLeft w:val="0"/>
              <w:marRight w:val="0"/>
              <w:marTop w:val="120"/>
              <w:marBottom w:val="0"/>
              <w:divBdr>
                <w:top w:val="none" w:sz="0" w:space="0" w:color="auto"/>
                <w:left w:val="none" w:sz="0" w:space="0" w:color="auto"/>
                <w:bottom w:val="none" w:sz="0" w:space="0" w:color="auto"/>
                <w:right w:val="none" w:sz="0" w:space="0" w:color="auto"/>
              </w:divBdr>
            </w:div>
            <w:div w:id="800538312">
              <w:marLeft w:val="0"/>
              <w:marRight w:val="0"/>
              <w:marTop w:val="120"/>
              <w:marBottom w:val="0"/>
              <w:divBdr>
                <w:top w:val="none" w:sz="0" w:space="0" w:color="auto"/>
                <w:left w:val="none" w:sz="0" w:space="0" w:color="auto"/>
                <w:bottom w:val="none" w:sz="0" w:space="0" w:color="auto"/>
                <w:right w:val="none" w:sz="0" w:space="0" w:color="auto"/>
              </w:divBdr>
            </w:div>
            <w:div w:id="1012953470">
              <w:marLeft w:val="0"/>
              <w:marRight w:val="0"/>
              <w:marTop w:val="120"/>
              <w:marBottom w:val="0"/>
              <w:divBdr>
                <w:top w:val="none" w:sz="0" w:space="0" w:color="auto"/>
                <w:left w:val="none" w:sz="0" w:space="0" w:color="auto"/>
                <w:bottom w:val="none" w:sz="0" w:space="0" w:color="auto"/>
                <w:right w:val="none" w:sz="0" w:space="0" w:color="auto"/>
              </w:divBdr>
            </w:div>
            <w:div w:id="1352075571">
              <w:marLeft w:val="0"/>
              <w:marRight w:val="0"/>
              <w:marTop w:val="120"/>
              <w:marBottom w:val="0"/>
              <w:divBdr>
                <w:top w:val="none" w:sz="0" w:space="0" w:color="auto"/>
                <w:left w:val="none" w:sz="0" w:space="0" w:color="auto"/>
                <w:bottom w:val="none" w:sz="0" w:space="0" w:color="auto"/>
                <w:right w:val="none" w:sz="0" w:space="0" w:color="auto"/>
              </w:divBdr>
            </w:div>
            <w:div w:id="1381246871">
              <w:marLeft w:val="0"/>
              <w:marRight w:val="0"/>
              <w:marTop w:val="120"/>
              <w:marBottom w:val="0"/>
              <w:divBdr>
                <w:top w:val="none" w:sz="0" w:space="0" w:color="auto"/>
                <w:left w:val="none" w:sz="0" w:space="0" w:color="auto"/>
                <w:bottom w:val="none" w:sz="0" w:space="0" w:color="auto"/>
                <w:right w:val="none" w:sz="0" w:space="0" w:color="auto"/>
              </w:divBdr>
            </w:div>
            <w:div w:id="1396049108">
              <w:marLeft w:val="0"/>
              <w:marRight w:val="0"/>
              <w:marTop w:val="120"/>
              <w:marBottom w:val="0"/>
              <w:divBdr>
                <w:top w:val="none" w:sz="0" w:space="0" w:color="auto"/>
                <w:left w:val="none" w:sz="0" w:space="0" w:color="auto"/>
                <w:bottom w:val="none" w:sz="0" w:space="0" w:color="auto"/>
                <w:right w:val="none" w:sz="0" w:space="0" w:color="auto"/>
              </w:divBdr>
            </w:div>
            <w:div w:id="1420909480">
              <w:marLeft w:val="0"/>
              <w:marRight w:val="0"/>
              <w:marTop w:val="360"/>
              <w:marBottom w:val="0"/>
              <w:divBdr>
                <w:top w:val="none" w:sz="0" w:space="0" w:color="auto"/>
                <w:left w:val="none" w:sz="0" w:space="0" w:color="auto"/>
                <w:bottom w:val="none" w:sz="0" w:space="0" w:color="auto"/>
                <w:right w:val="none" w:sz="0" w:space="0" w:color="auto"/>
              </w:divBdr>
            </w:div>
            <w:div w:id="1462072693">
              <w:marLeft w:val="0"/>
              <w:marRight w:val="0"/>
              <w:marTop w:val="120"/>
              <w:marBottom w:val="0"/>
              <w:divBdr>
                <w:top w:val="none" w:sz="0" w:space="0" w:color="auto"/>
                <w:left w:val="none" w:sz="0" w:space="0" w:color="auto"/>
                <w:bottom w:val="none" w:sz="0" w:space="0" w:color="auto"/>
                <w:right w:val="none" w:sz="0" w:space="0" w:color="auto"/>
              </w:divBdr>
            </w:div>
            <w:div w:id="17040171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16563638">
      <w:bodyDiv w:val="1"/>
      <w:marLeft w:val="0"/>
      <w:marRight w:val="0"/>
      <w:marTop w:val="0"/>
      <w:marBottom w:val="0"/>
      <w:divBdr>
        <w:top w:val="none" w:sz="0" w:space="0" w:color="auto"/>
        <w:left w:val="none" w:sz="0" w:space="0" w:color="auto"/>
        <w:bottom w:val="none" w:sz="0" w:space="0" w:color="auto"/>
        <w:right w:val="none" w:sz="0" w:space="0" w:color="auto"/>
      </w:divBdr>
    </w:div>
    <w:div w:id="1326087372">
      <w:bodyDiv w:val="1"/>
      <w:marLeft w:val="0"/>
      <w:marRight w:val="0"/>
      <w:marTop w:val="0"/>
      <w:marBottom w:val="0"/>
      <w:divBdr>
        <w:top w:val="none" w:sz="0" w:space="0" w:color="auto"/>
        <w:left w:val="none" w:sz="0" w:space="0" w:color="auto"/>
        <w:bottom w:val="none" w:sz="0" w:space="0" w:color="auto"/>
        <w:right w:val="none" w:sz="0" w:space="0" w:color="auto"/>
      </w:divBdr>
    </w:div>
    <w:div w:id="1331443657">
      <w:bodyDiv w:val="1"/>
      <w:marLeft w:val="0"/>
      <w:marRight w:val="0"/>
      <w:marTop w:val="0"/>
      <w:marBottom w:val="0"/>
      <w:divBdr>
        <w:top w:val="none" w:sz="0" w:space="0" w:color="auto"/>
        <w:left w:val="none" w:sz="0" w:space="0" w:color="auto"/>
        <w:bottom w:val="none" w:sz="0" w:space="0" w:color="auto"/>
        <w:right w:val="none" w:sz="0" w:space="0" w:color="auto"/>
      </w:divBdr>
      <w:divsChild>
        <w:div w:id="384570702">
          <w:marLeft w:val="0"/>
          <w:marRight w:val="0"/>
          <w:marTop w:val="0"/>
          <w:marBottom w:val="0"/>
          <w:divBdr>
            <w:top w:val="none" w:sz="0" w:space="0" w:color="auto"/>
            <w:left w:val="none" w:sz="0" w:space="0" w:color="auto"/>
            <w:bottom w:val="none" w:sz="0" w:space="0" w:color="auto"/>
            <w:right w:val="none" w:sz="0" w:space="0" w:color="auto"/>
          </w:divBdr>
        </w:div>
      </w:divsChild>
    </w:div>
    <w:div w:id="1377051197">
      <w:bodyDiv w:val="1"/>
      <w:marLeft w:val="0"/>
      <w:marRight w:val="0"/>
      <w:marTop w:val="0"/>
      <w:marBottom w:val="0"/>
      <w:divBdr>
        <w:top w:val="none" w:sz="0" w:space="0" w:color="auto"/>
        <w:left w:val="none" w:sz="0" w:space="0" w:color="auto"/>
        <w:bottom w:val="none" w:sz="0" w:space="0" w:color="auto"/>
        <w:right w:val="none" w:sz="0" w:space="0" w:color="auto"/>
      </w:divBdr>
    </w:div>
    <w:div w:id="1386297920">
      <w:bodyDiv w:val="1"/>
      <w:marLeft w:val="0"/>
      <w:marRight w:val="0"/>
      <w:marTop w:val="0"/>
      <w:marBottom w:val="0"/>
      <w:divBdr>
        <w:top w:val="none" w:sz="0" w:space="0" w:color="auto"/>
        <w:left w:val="none" w:sz="0" w:space="0" w:color="auto"/>
        <w:bottom w:val="none" w:sz="0" w:space="0" w:color="auto"/>
        <w:right w:val="none" w:sz="0" w:space="0" w:color="auto"/>
      </w:divBdr>
    </w:div>
    <w:div w:id="1393626025">
      <w:bodyDiv w:val="1"/>
      <w:marLeft w:val="0"/>
      <w:marRight w:val="0"/>
      <w:marTop w:val="0"/>
      <w:marBottom w:val="0"/>
      <w:divBdr>
        <w:top w:val="none" w:sz="0" w:space="0" w:color="auto"/>
        <w:left w:val="none" w:sz="0" w:space="0" w:color="auto"/>
        <w:bottom w:val="none" w:sz="0" w:space="0" w:color="auto"/>
        <w:right w:val="none" w:sz="0" w:space="0" w:color="auto"/>
      </w:divBdr>
    </w:div>
    <w:div w:id="1400177309">
      <w:bodyDiv w:val="1"/>
      <w:marLeft w:val="0"/>
      <w:marRight w:val="0"/>
      <w:marTop w:val="0"/>
      <w:marBottom w:val="0"/>
      <w:divBdr>
        <w:top w:val="none" w:sz="0" w:space="0" w:color="auto"/>
        <w:left w:val="none" w:sz="0" w:space="0" w:color="auto"/>
        <w:bottom w:val="none" w:sz="0" w:space="0" w:color="auto"/>
        <w:right w:val="none" w:sz="0" w:space="0" w:color="auto"/>
      </w:divBdr>
    </w:div>
    <w:div w:id="1401252255">
      <w:bodyDiv w:val="1"/>
      <w:marLeft w:val="0"/>
      <w:marRight w:val="0"/>
      <w:marTop w:val="0"/>
      <w:marBottom w:val="0"/>
      <w:divBdr>
        <w:top w:val="none" w:sz="0" w:space="0" w:color="auto"/>
        <w:left w:val="none" w:sz="0" w:space="0" w:color="auto"/>
        <w:bottom w:val="none" w:sz="0" w:space="0" w:color="auto"/>
        <w:right w:val="none" w:sz="0" w:space="0" w:color="auto"/>
      </w:divBdr>
    </w:div>
    <w:div w:id="1402560997">
      <w:bodyDiv w:val="1"/>
      <w:marLeft w:val="0"/>
      <w:marRight w:val="0"/>
      <w:marTop w:val="0"/>
      <w:marBottom w:val="0"/>
      <w:divBdr>
        <w:top w:val="none" w:sz="0" w:space="0" w:color="auto"/>
        <w:left w:val="none" w:sz="0" w:space="0" w:color="auto"/>
        <w:bottom w:val="none" w:sz="0" w:space="0" w:color="auto"/>
        <w:right w:val="none" w:sz="0" w:space="0" w:color="auto"/>
      </w:divBdr>
    </w:div>
    <w:div w:id="1408650686">
      <w:bodyDiv w:val="1"/>
      <w:marLeft w:val="0"/>
      <w:marRight w:val="0"/>
      <w:marTop w:val="0"/>
      <w:marBottom w:val="0"/>
      <w:divBdr>
        <w:top w:val="none" w:sz="0" w:space="0" w:color="auto"/>
        <w:left w:val="none" w:sz="0" w:space="0" w:color="auto"/>
        <w:bottom w:val="none" w:sz="0" w:space="0" w:color="auto"/>
        <w:right w:val="none" w:sz="0" w:space="0" w:color="auto"/>
      </w:divBdr>
    </w:div>
    <w:div w:id="1409882682">
      <w:bodyDiv w:val="1"/>
      <w:marLeft w:val="0"/>
      <w:marRight w:val="0"/>
      <w:marTop w:val="0"/>
      <w:marBottom w:val="0"/>
      <w:divBdr>
        <w:top w:val="none" w:sz="0" w:space="0" w:color="auto"/>
        <w:left w:val="none" w:sz="0" w:space="0" w:color="auto"/>
        <w:bottom w:val="none" w:sz="0" w:space="0" w:color="auto"/>
        <w:right w:val="none" w:sz="0" w:space="0" w:color="auto"/>
      </w:divBdr>
    </w:div>
    <w:div w:id="1475950972">
      <w:bodyDiv w:val="1"/>
      <w:marLeft w:val="0"/>
      <w:marRight w:val="0"/>
      <w:marTop w:val="0"/>
      <w:marBottom w:val="0"/>
      <w:divBdr>
        <w:top w:val="none" w:sz="0" w:space="0" w:color="auto"/>
        <w:left w:val="none" w:sz="0" w:space="0" w:color="auto"/>
        <w:bottom w:val="none" w:sz="0" w:space="0" w:color="auto"/>
        <w:right w:val="none" w:sz="0" w:space="0" w:color="auto"/>
      </w:divBdr>
    </w:div>
    <w:div w:id="1477723611">
      <w:bodyDiv w:val="1"/>
      <w:marLeft w:val="0"/>
      <w:marRight w:val="0"/>
      <w:marTop w:val="0"/>
      <w:marBottom w:val="0"/>
      <w:divBdr>
        <w:top w:val="none" w:sz="0" w:space="0" w:color="auto"/>
        <w:left w:val="none" w:sz="0" w:space="0" w:color="auto"/>
        <w:bottom w:val="none" w:sz="0" w:space="0" w:color="auto"/>
        <w:right w:val="none" w:sz="0" w:space="0" w:color="auto"/>
      </w:divBdr>
    </w:div>
    <w:div w:id="1490975830">
      <w:bodyDiv w:val="1"/>
      <w:marLeft w:val="0"/>
      <w:marRight w:val="0"/>
      <w:marTop w:val="0"/>
      <w:marBottom w:val="0"/>
      <w:divBdr>
        <w:top w:val="none" w:sz="0" w:space="0" w:color="auto"/>
        <w:left w:val="none" w:sz="0" w:space="0" w:color="auto"/>
        <w:bottom w:val="none" w:sz="0" w:space="0" w:color="auto"/>
        <w:right w:val="none" w:sz="0" w:space="0" w:color="auto"/>
      </w:divBdr>
    </w:div>
    <w:div w:id="1502162234">
      <w:bodyDiv w:val="1"/>
      <w:marLeft w:val="0"/>
      <w:marRight w:val="0"/>
      <w:marTop w:val="0"/>
      <w:marBottom w:val="0"/>
      <w:divBdr>
        <w:top w:val="none" w:sz="0" w:space="0" w:color="auto"/>
        <w:left w:val="none" w:sz="0" w:space="0" w:color="auto"/>
        <w:bottom w:val="none" w:sz="0" w:space="0" w:color="auto"/>
        <w:right w:val="none" w:sz="0" w:space="0" w:color="auto"/>
      </w:divBdr>
    </w:div>
    <w:div w:id="1511603415">
      <w:bodyDiv w:val="1"/>
      <w:marLeft w:val="0"/>
      <w:marRight w:val="0"/>
      <w:marTop w:val="0"/>
      <w:marBottom w:val="0"/>
      <w:divBdr>
        <w:top w:val="none" w:sz="0" w:space="0" w:color="auto"/>
        <w:left w:val="none" w:sz="0" w:space="0" w:color="auto"/>
        <w:bottom w:val="none" w:sz="0" w:space="0" w:color="auto"/>
        <w:right w:val="none" w:sz="0" w:space="0" w:color="auto"/>
      </w:divBdr>
    </w:div>
    <w:div w:id="1515419241">
      <w:bodyDiv w:val="1"/>
      <w:marLeft w:val="0"/>
      <w:marRight w:val="0"/>
      <w:marTop w:val="0"/>
      <w:marBottom w:val="0"/>
      <w:divBdr>
        <w:top w:val="none" w:sz="0" w:space="0" w:color="auto"/>
        <w:left w:val="none" w:sz="0" w:space="0" w:color="auto"/>
        <w:bottom w:val="none" w:sz="0" w:space="0" w:color="auto"/>
        <w:right w:val="none" w:sz="0" w:space="0" w:color="auto"/>
      </w:divBdr>
    </w:div>
    <w:div w:id="1527980410">
      <w:bodyDiv w:val="1"/>
      <w:marLeft w:val="0"/>
      <w:marRight w:val="0"/>
      <w:marTop w:val="0"/>
      <w:marBottom w:val="0"/>
      <w:divBdr>
        <w:top w:val="none" w:sz="0" w:space="0" w:color="auto"/>
        <w:left w:val="none" w:sz="0" w:space="0" w:color="auto"/>
        <w:bottom w:val="none" w:sz="0" w:space="0" w:color="auto"/>
        <w:right w:val="none" w:sz="0" w:space="0" w:color="auto"/>
      </w:divBdr>
    </w:div>
    <w:div w:id="1533031594">
      <w:bodyDiv w:val="1"/>
      <w:marLeft w:val="0"/>
      <w:marRight w:val="0"/>
      <w:marTop w:val="0"/>
      <w:marBottom w:val="0"/>
      <w:divBdr>
        <w:top w:val="none" w:sz="0" w:space="0" w:color="auto"/>
        <w:left w:val="none" w:sz="0" w:space="0" w:color="auto"/>
        <w:bottom w:val="none" w:sz="0" w:space="0" w:color="auto"/>
        <w:right w:val="none" w:sz="0" w:space="0" w:color="auto"/>
      </w:divBdr>
    </w:div>
    <w:div w:id="1534153308">
      <w:bodyDiv w:val="1"/>
      <w:marLeft w:val="0"/>
      <w:marRight w:val="0"/>
      <w:marTop w:val="0"/>
      <w:marBottom w:val="0"/>
      <w:divBdr>
        <w:top w:val="none" w:sz="0" w:space="0" w:color="auto"/>
        <w:left w:val="none" w:sz="0" w:space="0" w:color="auto"/>
        <w:bottom w:val="none" w:sz="0" w:space="0" w:color="auto"/>
        <w:right w:val="none" w:sz="0" w:space="0" w:color="auto"/>
      </w:divBdr>
    </w:div>
    <w:div w:id="1551531934">
      <w:bodyDiv w:val="1"/>
      <w:marLeft w:val="0"/>
      <w:marRight w:val="0"/>
      <w:marTop w:val="0"/>
      <w:marBottom w:val="0"/>
      <w:divBdr>
        <w:top w:val="none" w:sz="0" w:space="0" w:color="auto"/>
        <w:left w:val="none" w:sz="0" w:space="0" w:color="auto"/>
        <w:bottom w:val="none" w:sz="0" w:space="0" w:color="auto"/>
        <w:right w:val="none" w:sz="0" w:space="0" w:color="auto"/>
      </w:divBdr>
    </w:div>
    <w:div w:id="1553225280">
      <w:bodyDiv w:val="1"/>
      <w:marLeft w:val="0"/>
      <w:marRight w:val="0"/>
      <w:marTop w:val="0"/>
      <w:marBottom w:val="0"/>
      <w:divBdr>
        <w:top w:val="none" w:sz="0" w:space="0" w:color="auto"/>
        <w:left w:val="none" w:sz="0" w:space="0" w:color="auto"/>
        <w:bottom w:val="none" w:sz="0" w:space="0" w:color="auto"/>
        <w:right w:val="none" w:sz="0" w:space="0" w:color="auto"/>
      </w:divBdr>
    </w:div>
    <w:div w:id="1558930390">
      <w:bodyDiv w:val="1"/>
      <w:marLeft w:val="0"/>
      <w:marRight w:val="0"/>
      <w:marTop w:val="0"/>
      <w:marBottom w:val="0"/>
      <w:divBdr>
        <w:top w:val="none" w:sz="0" w:space="0" w:color="auto"/>
        <w:left w:val="none" w:sz="0" w:space="0" w:color="auto"/>
        <w:bottom w:val="none" w:sz="0" w:space="0" w:color="auto"/>
        <w:right w:val="none" w:sz="0" w:space="0" w:color="auto"/>
      </w:divBdr>
    </w:div>
    <w:div w:id="1584755352">
      <w:bodyDiv w:val="1"/>
      <w:marLeft w:val="0"/>
      <w:marRight w:val="0"/>
      <w:marTop w:val="0"/>
      <w:marBottom w:val="0"/>
      <w:divBdr>
        <w:top w:val="none" w:sz="0" w:space="0" w:color="auto"/>
        <w:left w:val="none" w:sz="0" w:space="0" w:color="auto"/>
        <w:bottom w:val="none" w:sz="0" w:space="0" w:color="auto"/>
        <w:right w:val="none" w:sz="0" w:space="0" w:color="auto"/>
      </w:divBdr>
    </w:div>
    <w:div w:id="1598446688">
      <w:bodyDiv w:val="1"/>
      <w:marLeft w:val="0"/>
      <w:marRight w:val="0"/>
      <w:marTop w:val="0"/>
      <w:marBottom w:val="0"/>
      <w:divBdr>
        <w:top w:val="none" w:sz="0" w:space="0" w:color="auto"/>
        <w:left w:val="none" w:sz="0" w:space="0" w:color="auto"/>
        <w:bottom w:val="none" w:sz="0" w:space="0" w:color="auto"/>
        <w:right w:val="none" w:sz="0" w:space="0" w:color="auto"/>
      </w:divBdr>
    </w:div>
    <w:div w:id="1624771998">
      <w:bodyDiv w:val="1"/>
      <w:marLeft w:val="0"/>
      <w:marRight w:val="0"/>
      <w:marTop w:val="0"/>
      <w:marBottom w:val="0"/>
      <w:divBdr>
        <w:top w:val="none" w:sz="0" w:space="0" w:color="auto"/>
        <w:left w:val="none" w:sz="0" w:space="0" w:color="auto"/>
        <w:bottom w:val="none" w:sz="0" w:space="0" w:color="auto"/>
        <w:right w:val="none" w:sz="0" w:space="0" w:color="auto"/>
      </w:divBdr>
      <w:divsChild>
        <w:div w:id="349767109">
          <w:marLeft w:val="0"/>
          <w:marRight w:val="0"/>
          <w:marTop w:val="0"/>
          <w:marBottom w:val="0"/>
          <w:divBdr>
            <w:top w:val="none" w:sz="0" w:space="0" w:color="auto"/>
            <w:left w:val="none" w:sz="0" w:space="0" w:color="auto"/>
            <w:bottom w:val="none" w:sz="0" w:space="0" w:color="auto"/>
            <w:right w:val="none" w:sz="0" w:space="0" w:color="auto"/>
          </w:divBdr>
        </w:div>
        <w:div w:id="723332570">
          <w:marLeft w:val="0"/>
          <w:marRight w:val="0"/>
          <w:marTop w:val="0"/>
          <w:marBottom w:val="0"/>
          <w:divBdr>
            <w:top w:val="none" w:sz="0" w:space="0" w:color="auto"/>
            <w:left w:val="none" w:sz="0" w:space="0" w:color="auto"/>
            <w:bottom w:val="none" w:sz="0" w:space="0" w:color="auto"/>
            <w:right w:val="none" w:sz="0" w:space="0" w:color="auto"/>
          </w:divBdr>
        </w:div>
      </w:divsChild>
    </w:div>
    <w:div w:id="1630866143">
      <w:bodyDiv w:val="1"/>
      <w:marLeft w:val="0"/>
      <w:marRight w:val="0"/>
      <w:marTop w:val="0"/>
      <w:marBottom w:val="0"/>
      <w:divBdr>
        <w:top w:val="none" w:sz="0" w:space="0" w:color="auto"/>
        <w:left w:val="none" w:sz="0" w:space="0" w:color="auto"/>
        <w:bottom w:val="none" w:sz="0" w:space="0" w:color="auto"/>
        <w:right w:val="none" w:sz="0" w:space="0" w:color="auto"/>
      </w:divBdr>
    </w:div>
    <w:div w:id="1633974734">
      <w:bodyDiv w:val="1"/>
      <w:marLeft w:val="0"/>
      <w:marRight w:val="0"/>
      <w:marTop w:val="0"/>
      <w:marBottom w:val="0"/>
      <w:divBdr>
        <w:top w:val="none" w:sz="0" w:space="0" w:color="auto"/>
        <w:left w:val="none" w:sz="0" w:space="0" w:color="auto"/>
        <w:bottom w:val="none" w:sz="0" w:space="0" w:color="auto"/>
        <w:right w:val="none" w:sz="0" w:space="0" w:color="auto"/>
      </w:divBdr>
    </w:div>
    <w:div w:id="1637560520">
      <w:bodyDiv w:val="1"/>
      <w:marLeft w:val="0"/>
      <w:marRight w:val="0"/>
      <w:marTop w:val="0"/>
      <w:marBottom w:val="0"/>
      <w:divBdr>
        <w:top w:val="none" w:sz="0" w:space="0" w:color="auto"/>
        <w:left w:val="none" w:sz="0" w:space="0" w:color="auto"/>
        <w:bottom w:val="none" w:sz="0" w:space="0" w:color="auto"/>
        <w:right w:val="none" w:sz="0" w:space="0" w:color="auto"/>
      </w:divBdr>
    </w:div>
    <w:div w:id="1648049046">
      <w:bodyDiv w:val="1"/>
      <w:marLeft w:val="0"/>
      <w:marRight w:val="0"/>
      <w:marTop w:val="0"/>
      <w:marBottom w:val="0"/>
      <w:divBdr>
        <w:top w:val="none" w:sz="0" w:space="0" w:color="auto"/>
        <w:left w:val="none" w:sz="0" w:space="0" w:color="auto"/>
        <w:bottom w:val="none" w:sz="0" w:space="0" w:color="auto"/>
        <w:right w:val="none" w:sz="0" w:space="0" w:color="auto"/>
      </w:divBdr>
    </w:div>
    <w:div w:id="1652833809">
      <w:bodyDiv w:val="1"/>
      <w:marLeft w:val="0"/>
      <w:marRight w:val="0"/>
      <w:marTop w:val="0"/>
      <w:marBottom w:val="0"/>
      <w:divBdr>
        <w:top w:val="none" w:sz="0" w:space="0" w:color="auto"/>
        <w:left w:val="none" w:sz="0" w:space="0" w:color="auto"/>
        <w:bottom w:val="none" w:sz="0" w:space="0" w:color="auto"/>
        <w:right w:val="none" w:sz="0" w:space="0" w:color="auto"/>
      </w:divBdr>
    </w:div>
    <w:div w:id="1681154777">
      <w:bodyDiv w:val="1"/>
      <w:marLeft w:val="0"/>
      <w:marRight w:val="0"/>
      <w:marTop w:val="0"/>
      <w:marBottom w:val="0"/>
      <w:divBdr>
        <w:top w:val="none" w:sz="0" w:space="0" w:color="auto"/>
        <w:left w:val="none" w:sz="0" w:space="0" w:color="auto"/>
        <w:bottom w:val="none" w:sz="0" w:space="0" w:color="auto"/>
        <w:right w:val="none" w:sz="0" w:space="0" w:color="auto"/>
      </w:divBdr>
      <w:divsChild>
        <w:div w:id="96756868">
          <w:marLeft w:val="0"/>
          <w:marRight w:val="0"/>
          <w:marTop w:val="0"/>
          <w:marBottom w:val="0"/>
          <w:divBdr>
            <w:top w:val="none" w:sz="0" w:space="0" w:color="auto"/>
            <w:left w:val="none" w:sz="0" w:space="0" w:color="auto"/>
            <w:bottom w:val="none" w:sz="0" w:space="0" w:color="auto"/>
            <w:right w:val="none" w:sz="0" w:space="0" w:color="auto"/>
          </w:divBdr>
        </w:div>
        <w:div w:id="1258708964">
          <w:marLeft w:val="0"/>
          <w:marRight w:val="0"/>
          <w:marTop w:val="0"/>
          <w:marBottom w:val="0"/>
          <w:divBdr>
            <w:top w:val="none" w:sz="0" w:space="0" w:color="auto"/>
            <w:left w:val="none" w:sz="0" w:space="0" w:color="auto"/>
            <w:bottom w:val="none" w:sz="0" w:space="0" w:color="auto"/>
            <w:right w:val="none" w:sz="0" w:space="0" w:color="auto"/>
          </w:divBdr>
        </w:div>
        <w:div w:id="1810242148">
          <w:marLeft w:val="0"/>
          <w:marRight w:val="0"/>
          <w:marTop w:val="0"/>
          <w:marBottom w:val="0"/>
          <w:divBdr>
            <w:top w:val="none" w:sz="0" w:space="0" w:color="auto"/>
            <w:left w:val="none" w:sz="0" w:space="0" w:color="auto"/>
            <w:bottom w:val="none" w:sz="0" w:space="0" w:color="auto"/>
            <w:right w:val="none" w:sz="0" w:space="0" w:color="auto"/>
          </w:divBdr>
        </w:div>
      </w:divsChild>
    </w:div>
    <w:div w:id="1681659479">
      <w:bodyDiv w:val="1"/>
      <w:marLeft w:val="0"/>
      <w:marRight w:val="0"/>
      <w:marTop w:val="0"/>
      <w:marBottom w:val="0"/>
      <w:divBdr>
        <w:top w:val="none" w:sz="0" w:space="0" w:color="auto"/>
        <w:left w:val="none" w:sz="0" w:space="0" w:color="auto"/>
        <w:bottom w:val="none" w:sz="0" w:space="0" w:color="auto"/>
        <w:right w:val="none" w:sz="0" w:space="0" w:color="auto"/>
      </w:divBdr>
    </w:div>
    <w:div w:id="1697728244">
      <w:bodyDiv w:val="1"/>
      <w:marLeft w:val="0"/>
      <w:marRight w:val="0"/>
      <w:marTop w:val="0"/>
      <w:marBottom w:val="0"/>
      <w:divBdr>
        <w:top w:val="none" w:sz="0" w:space="0" w:color="auto"/>
        <w:left w:val="none" w:sz="0" w:space="0" w:color="auto"/>
        <w:bottom w:val="none" w:sz="0" w:space="0" w:color="auto"/>
        <w:right w:val="none" w:sz="0" w:space="0" w:color="auto"/>
      </w:divBdr>
    </w:div>
    <w:div w:id="1707638204">
      <w:bodyDiv w:val="1"/>
      <w:marLeft w:val="0"/>
      <w:marRight w:val="0"/>
      <w:marTop w:val="0"/>
      <w:marBottom w:val="0"/>
      <w:divBdr>
        <w:top w:val="none" w:sz="0" w:space="0" w:color="auto"/>
        <w:left w:val="none" w:sz="0" w:space="0" w:color="auto"/>
        <w:bottom w:val="none" w:sz="0" w:space="0" w:color="auto"/>
        <w:right w:val="none" w:sz="0" w:space="0" w:color="auto"/>
      </w:divBdr>
    </w:div>
    <w:div w:id="1710908302">
      <w:bodyDiv w:val="1"/>
      <w:marLeft w:val="0"/>
      <w:marRight w:val="0"/>
      <w:marTop w:val="0"/>
      <w:marBottom w:val="0"/>
      <w:divBdr>
        <w:top w:val="none" w:sz="0" w:space="0" w:color="auto"/>
        <w:left w:val="none" w:sz="0" w:space="0" w:color="auto"/>
        <w:bottom w:val="none" w:sz="0" w:space="0" w:color="auto"/>
        <w:right w:val="none" w:sz="0" w:space="0" w:color="auto"/>
      </w:divBdr>
    </w:div>
    <w:div w:id="1724865086">
      <w:bodyDiv w:val="1"/>
      <w:marLeft w:val="0"/>
      <w:marRight w:val="0"/>
      <w:marTop w:val="0"/>
      <w:marBottom w:val="0"/>
      <w:divBdr>
        <w:top w:val="none" w:sz="0" w:space="0" w:color="auto"/>
        <w:left w:val="none" w:sz="0" w:space="0" w:color="auto"/>
        <w:bottom w:val="none" w:sz="0" w:space="0" w:color="auto"/>
        <w:right w:val="none" w:sz="0" w:space="0" w:color="auto"/>
      </w:divBdr>
    </w:div>
    <w:div w:id="1726178178">
      <w:bodyDiv w:val="1"/>
      <w:marLeft w:val="0"/>
      <w:marRight w:val="0"/>
      <w:marTop w:val="0"/>
      <w:marBottom w:val="0"/>
      <w:divBdr>
        <w:top w:val="none" w:sz="0" w:space="0" w:color="auto"/>
        <w:left w:val="none" w:sz="0" w:space="0" w:color="auto"/>
        <w:bottom w:val="none" w:sz="0" w:space="0" w:color="auto"/>
        <w:right w:val="none" w:sz="0" w:space="0" w:color="auto"/>
      </w:divBdr>
    </w:div>
    <w:div w:id="1742213987">
      <w:bodyDiv w:val="1"/>
      <w:marLeft w:val="0"/>
      <w:marRight w:val="0"/>
      <w:marTop w:val="0"/>
      <w:marBottom w:val="0"/>
      <w:divBdr>
        <w:top w:val="none" w:sz="0" w:space="0" w:color="auto"/>
        <w:left w:val="none" w:sz="0" w:space="0" w:color="auto"/>
        <w:bottom w:val="none" w:sz="0" w:space="0" w:color="auto"/>
        <w:right w:val="none" w:sz="0" w:space="0" w:color="auto"/>
      </w:divBdr>
    </w:div>
    <w:div w:id="1743289947">
      <w:bodyDiv w:val="1"/>
      <w:marLeft w:val="0"/>
      <w:marRight w:val="0"/>
      <w:marTop w:val="0"/>
      <w:marBottom w:val="0"/>
      <w:divBdr>
        <w:top w:val="none" w:sz="0" w:space="0" w:color="auto"/>
        <w:left w:val="none" w:sz="0" w:space="0" w:color="auto"/>
        <w:bottom w:val="none" w:sz="0" w:space="0" w:color="auto"/>
        <w:right w:val="none" w:sz="0" w:space="0" w:color="auto"/>
      </w:divBdr>
    </w:div>
    <w:div w:id="1744717136">
      <w:bodyDiv w:val="1"/>
      <w:marLeft w:val="0"/>
      <w:marRight w:val="0"/>
      <w:marTop w:val="0"/>
      <w:marBottom w:val="0"/>
      <w:divBdr>
        <w:top w:val="none" w:sz="0" w:space="0" w:color="auto"/>
        <w:left w:val="none" w:sz="0" w:space="0" w:color="auto"/>
        <w:bottom w:val="none" w:sz="0" w:space="0" w:color="auto"/>
        <w:right w:val="none" w:sz="0" w:space="0" w:color="auto"/>
      </w:divBdr>
    </w:div>
    <w:div w:id="1757165545">
      <w:bodyDiv w:val="1"/>
      <w:marLeft w:val="0"/>
      <w:marRight w:val="0"/>
      <w:marTop w:val="0"/>
      <w:marBottom w:val="0"/>
      <w:divBdr>
        <w:top w:val="none" w:sz="0" w:space="0" w:color="auto"/>
        <w:left w:val="none" w:sz="0" w:space="0" w:color="auto"/>
        <w:bottom w:val="none" w:sz="0" w:space="0" w:color="auto"/>
        <w:right w:val="none" w:sz="0" w:space="0" w:color="auto"/>
      </w:divBdr>
    </w:div>
    <w:div w:id="1785036374">
      <w:bodyDiv w:val="1"/>
      <w:marLeft w:val="0"/>
      <w:marRight w:val="0"/>
      <w:marTop w:val="0"/>
      <w:marBottom w:val="0"/>
      <w:divBdr>
        <w:top w:val="none" w:sz="0" w:space="0" w:color="auto"/>
        <w:left w:val="none" w:sz="0" w:space="0" w:color="auto"/>
        <w:bottom w:val="none" w:sz="0" w:space="0" w:color="auto"/>
        <w:right w:val="none" w:sz="0" w:space="0" w:color="auto"/>
      </w:divBdr>
    </w:div>
    <w:div w:id="1807625653">
      <w:bodyDiv w:val="1"/>
      <w:marLeft w:val="0"/>
      <w:marRight w:val="0"/>
      <w:marTop w:val="0"/>
      <w:marBottom w:val="0"/>
      <w:divBdr>
        <w:top w:val="none" w:sz="0" w:space="0" w:color="auto"/>
        <w:left w:val="none" w:sz="0" w:space="0" w:color="auto"/>
        <w:bottom w:val="none" w:sz="0" w:space="0" w:color="auto"/>
        <w:right w:val="none" w:sz="0" w:space="0" w:color="auto"/>
      </w:divBdr>
    </w:div>
    <w:div w:id="1809319310">
      <w:bodyDiv w:val="1"/>
      <w:marLeft w:val="0"/>
      <w:marRight w:val="0"/>
      <w:marTop w:val="0"/>
      <w:marBottom w:val="0"/>
      <w:divBdr>
        <w:top w:val="none" w:sz="0" w:space="0" w:color="auto"/>
        <w:left w:val="none" w:sz="0" w:space="0" w:color="auto"/>
        <w:bottom w:val="none" w:sz="0" w:space="0" w:color="auto"/>
        <w:right w:val="none" w:sz="0" w:space="0" w:color="auto"/>
      </w:divBdr>
    </w:div>
    <w:div w:id="1809856659">
      <w:bodyDiv w:val="1"/>
      <w:marLeft w:val="0"/>
      <w:marRight w:val="0"/>
      <w:marTop w:val="0"/>
      <w:marBottom w:val="0"/>
      <w:divBdr>
        <w:top w:val="none" w:sz="0" w:space="0" w:color="auto"/>
        <w:left w:val="none" w:sz="0" w:space="0" w:color="auto"/>
        <w:bottom w:val="none" w:sz="0" w:space="0" w:color="auto"/>
        <w:right w:val="none" w:sz="0" w:space="0" w:color="auto"/>
      </w:divBdr>
    </w:div>
    <w:div w:id="1817532173">
      <w:bodyDiv w:val="1"/>
      <w:marLeft w:val="0"/>
      <w:marRight w:val="0"/>
      <w:marTop w:val="0"/>
      <w:marBottom w:val="0"/>
      <w:divBdr>
        <w:top w:val="none" w:sz="0" w:space="0" w:color="auto"/>
        <w:left w:val="none" w:sz="0" w:space="0" w:color="auto"/>
        <w:bottom w:val="none" w:sz="0" w:space="0" w:color="auto"/>
        <w:right w:val="none" w:sz="0" w:space="0" w:color="auto"/>
      </w:divBdr>
    </w:div>
    <w:div w:id="1832407020">
      <w:bodyDiv w:val="1"/>
      <w:marLeft w:val="0"/>
      <w:marRight w:val="0"/>
      <w:marTop w:val="0"/>
      <w:marBottom w:val="0"/>
      <w:divBdr>
        <w:top w:val="none" w:sz="0" w:space="0" w:color="auto"/>
        <w:left w:val="none" w:sz="0" w:space="0" w:color="auto"/>
        <w:bottom w:val="none" w:sz="0" w:space="0" w:color="auto"/>
        <w:right w:val="none" w:sz="0" w:space="0" w:color="auto"/>
      </w:divBdr>
      <w:divsChild>
        <w:div w:id="1444615676">
          <w:marLeft w:val="0"/>
          <w:marRight w:val="0"/>
          <w:marTop w:val="0"/>
          <w:marBottom w:val="0"/>
          <w:divBdr>
            <w:top w:val="none" w:sz="0" w:space="0" w:color="auto"/>
            <w:left w:val="none" w:sz="0" w:space="0" w:color="auto"/>
            <w:bottom w:val="none" w:sz="0" w:space="0" w:color="auto"/>
            <w:right w:val="none" w:sz="0" w:space="0" w:color="auto"/>
          </w:divBdr>
        </w:div>
      </w:divsChild>
    </w:div>
    <w:div w:id="1842894439">
      <w:bodyDiv w:val="1"/>
      <w:marLeft w:val="0"/>
      <w:marRight w:val="0"/>
      <w:marTop w:val="0"/>
      <w:marBottom w:val="0"/>
      <w:divBdr>
        <w:top w:val="none" w:sz="0" w:space="0" w:color="auto"/>
        <w:left w:val="none" w:sz="0" w:space="0" w:color="auto"/>
        <w:bottom w:val="none" w:sz="0" w:space="0" w:color="auto"/>
        <w:right w:val="none" w:sz="0" w:space="0" w:color="auto"/>
      </w:divBdr>
    </w:div>
    <w:div w:id="1844201918">
      <w:bodyDiv w:val="1"/>
      <w:marLeft w:val="0"/>
      <w:marRight w:val="0"/>
      <w:marTop w:val="0"/>
      <w:marBottom w:val="0"/>
      <w:divBdr>
        <w:top w:val="none" w:sz="0" w:space="0" w:color="auto"/>
        <w:left w:val="none" w:sz="0" w:space="0" w:color="auto"/>
        <w:bottom w:val="none" w:sz="0" w:space="0" w:color="auto"/>
        <w:right w:val="none" w:sz="0" w:space="0" w:color="auto"/>
      </w:divBdr>
    </w:div>
    <w:div w:id="1852405005">
      <w:bodyDiv w:val="1"/>
      <w:marLeft w:val="0"/>
      <w:marRight w:val="0"/>
      <w:marTop w:val="0"/>
      <w:marBottom w:val="0"/>
      <w:divBdr>
        <w:top w:val="none" w:sz="0" w:space="0" w:color="auto"/>
        <w:left w:val="none" w:sz="0" w:space="0" w:color="auto"/>
        <w:bottom w:val="none" w:sz="0" w:space="0" w:color="auto"/>
        <w:right w:val="none" w:sz="0" w:space="0" w:color="auto"/>
      </w:divBdr>
    </w:div>
    <w:div w:id="1861116894">
      <w:bodyDiv w:val="1"/>
      <w:marLeft w:val="0"/>
      <w:marRight w:val="0"/>
      <w:marTop w:val="0"/>
      <w:marBottom w:val="0"/>
      <w:divBdr>
        <w:top w:val="none" w:sz="0" w:space="0" w:color="auto"/>
        <w:left w:val="none" w:sz="0" w:space="0" w:color="auto"/>
        <w:bottom w:val="none" w:sz="0" w:space="0" w:color="auto"/>
        <w:right w:val="none" w:sz="0" w:space="0" w:color="auto"/>
      </w:divBdr>
    </w:div>
    <w:div w:id="1867061446">
      <w:bodyDiv w:val="1"/>
      <w:marLeft w:val="0"/>
      <w:marRight w:val="0"/>
      <w:marTop w:val="0"/>
      <w:marBottom w:val="0"/>
      <w:divBdr>
        <w:top w:val="none" w:sz="0" w:space="0" w:color="auto"/>
        <w:left w:val="none" w:sz="0" w:space="0" w:color="auto"/>
        <w:bottom w:val="none" w:sz="0" w:space="0" w:color="auto"/>
        <w:right w:val="none" w:sz="0" w:space="0" w:color="auto"/>
      </w:divBdr>
    </w:div>
    <w:div w:id="1884519082">
      <w:bodyDiv w:val="1"/>
      <w:marLeft w:val="0"/>
      <w:marRight w:val="0"/>
      <w:marTop w:val="0"/>
      <w:marBottom w:val="0"/>
      <w:divBdr>
        <w:top w:val="none" w:sz="0" w:space="0" w:color="auto"/>
        <w:left w:val="none" w:sz="0" w:space="0" w:color="auto"/>
        <w:bottom w:val="none" w:sz="0" w:space="0" w:color="auto"/>
        <w:right w:val="none" w:sz="0" w:space="0" w:color="auto"/>
      </w:divBdr>
    </w:div>
    <w:div w:id="1889341790">
      <w:bodyDiv w:val="1"/>
      <w:marLeft w:val="0"/>
      <w:marRight w:val="0"/>
      <w:marTop w:val="0"/>
      <w:marBottom w:val="0"/>
      <w:divBdr>
        <w:top w:val="none" w:sz="0" w:space="0" w:color="auto"/>
        <w:left w:val="none" w:sz="0" w:space="0" w:color="auto"/>
        <w:bottom w:val="none" w:sz="0" w:space="0" w:color="auto"/>
        <w:right w:val="none" w:sz="0" w:space="0" w:color="auto"/>
      </w:divBdr>
      <w:divsChild>
        <w:div w:id="1092775917">
          <w:marLeft w:val="0"/>
          <w:marRight w:val="0"/>
          <w:marTop w:val="0"/>
          <w:marBottom w:val="0"/>
          <w:divBdr>
            <w:top w:val="none" w:sz="0" w:space="0" w:color="auto"/>
            <w:left w:val="none" w:sz="0" w:space="0" w:color="auto"/>
            <w:bottom w:val="none" w:sz="0" w:space="0" w:color="auto"/>
            <w:right w:val="none" w:sz="0" w:space="0" w:color="auto"/>
          </w:divBdr>
          <w:divsChild>
            <w:div w:id="15243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2898">
      <w:bodyDiv w:val="1"/>
      <w:marLeft w:val="0"/>
      <w:marRight w:val="0"/>
      <w:marTop w:val="0"/>
      <w:marBottom w:val="0"/>
      <w:divBdr>
        <w:top w:val="none" w:sz="0" w:space="0" w:color="auto"/>
        <w:left w:val="none" w:sz="0" w:space="0" w:color="auto"/>
        <w:bottom w:val="none" w:sz="0" w:space="0" w:color="auto"/>
        <w:right w:val="none" w:sz="0" w:space="0" w:color="auto"/>
      </w:divBdr>
    </w:div>
    <w:div w:id="1893955074">
      <w:bodyDiv w:val="1"/>
      <w:marLeft w:val="0"/>
      <w:marRight w:val="0"/>
      <w:marTop w:val="0"/>
      <w:marBottom w:val="0"/>
      <w:divBdr>
        <w:top w:val="none" w:sz="0" w:space="0" w:color="auto"/>
        <w:left w:val="none" w:sz="0" w:space="0" w:color="auto"/>
        <w:bottom w:val="none" w:sz="0" w:space="0" w:color="auto"/>
        <w:right w:val="none" w:sz="0" w:space="0" w:color="auto"/>
      </w:divBdr>
      <w:divsChild>
        <w:div w:id="1230073169">
          <w:marLeft w:val="0"/>
          <w:marRight w:val="0"/>
          <w:marTop w:val="0"/>
          <w:marBottom w:val="0"/>
          <w:divBdr>
            <w:top w:val="none" w:sz="0" w:space="0" w:color="auto"/>
            <w:left w:val="none" w:sz="0" w:space="0" w:color="auto"/>
            <w:bottom w:val="none" w:sz="0" w:space="0" w:color="auto"/>
            <w:right w:val="none" w:sz="0" w:space="0" w:color="auto"/>
          </w:divBdr>
        </w:div>
      </w:divsChild>
    </w:div>
    <w:div w:id="1898471385">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1899852948">
      <w:bodyDiv w:val="1"/>
      <w:marLeft w:val="0"/>
      <w:marRight w:val="0"/>
      <w:marTop w:val="0"/>
      <w:marBottom w:val="0"/>
      <w:divBdr>
        <w:top w:val="none" w:sz="0" w:space="0" w:color="auto"/>
        <w:left w:val="none" w:sz="0" w:space="0" w:color="auto"/>
        <w:bottom w:val="none" w:sz="0" w:space="0" w:color="auto"/>
        <w:right w:val="none" w:sz="0" w:space="0" w:color="auto"/>
      </w:divBdr>
    </w:div>
    <w:div w:id="1906526905">
      <w:bodyDiv w:val="1"/>
      <w:marLeft w:val="0"/>
      <w:marRight w:val="0"/>
      <w:marTop w:val="0"/>
      <w:marBottom w:val="0"/>
      <w:divBdr>
        <w:top w:val="none" w:sz="0" w:space="0" w:color="auto"/>
        <w:left w:val="none" w:sz="0" w:space="0" w:color="auto"/>
        <w:bottom w:val="none" w:sz="0" w:space="0" w:color="auto"/>
        <w:right w:val="none" w:sz="0" w:space="0" w:color="auto"/>
      </w:divBdr>
    </w:div>
    <w:div w:id="1911184599">
      <w:bodyDiv w:val="1"/>
      <w:marLeft w:val="0"/>
      <w:marRight w:val="0"/>
      <w:marTop w:val="0"/>
      <w:marBottom w:val="0"/>
      <w:divBdr>
        <w:top w:val="none" w:sz="0" w:space="0" w:color="auto"/>
        <w:left w:val="none" w:sz="0" w:space="0" w:color="auto"/>
        <w:bottom w:val="none" w:sz="0" w:space="0" w:color="auto"/>
        <w:right w:val="none" w:sz="0" w:space="0" w:color="auto"/>
      </w:divBdr>
    </w:div>
    <w:div w:id="1912814976">
      <w:bodyDiv w:val="1"/>
      <w:marLeft w:val="0"/>
      <w:marRight w:val="0"/>
      <w:marTop w:val="0"/>
      <w:marBottom w:val="0"/>
      <w:divBdr>
        <w:top w:val="none" w:sz="0" w:space="0" w:color="auto"/>
        <w:left w:val="none" w:sz="0" w:space="0" w:color="auto"/>
        <w:bottom w:val="none" w:sz="0" w:space="0" w:color="auto"/>
        <w:right w:val="none" w:sz="0" w:space="0" w:color="auto"/>
      </w:divBdr>
      <w:divsChild>
        <w:div w:id="317342637">
          <w:marLeft w:val="0"/>
          <w:marRight w:val="0"/>
          <w:marTop w:val="0"/>
          <w:marBottom w:val="0"/>
          <w:divBdr>
            <w:top w:val="none" w:sz="0" w:space="0" w:color="auto"/>
            <w:left w:val="none" w:sz="0" w:space="0" w:color="auto"/>
            <w:bottom w:val="none" w:sz="0" w:space="0" w:color="auto"/>
            <w:right w:val="none" w:sz="0" w:space="0" w:color="auto"/>
          </w:divBdr>
        </w:div>
      </w:divsChild>
    </w:div>
    <w:div w:id="1916936965">
      <w:bodyDiv w:val="1"/>
      <w:marLeft w:val="0"/>
      <w:marRight w:val="0"/>
      <w:marTop w:val="0"/>
      <w:marBottom w:val="0"/>
      <w:divBdr>
        <w:top w:val="none" w:sz="0" w:space="0" w:color="auto"/>
        <w:left w:val="none" w:sz="0" w:space="0" w:color="auto"/>
        <w:bottom w:val="none" w:sz="0" w:space="0" w:color="auto"/>
        <w:right w:val="none" w:sz="0" w:space="0" w:color="auto"/>
      </w:divBdr>
    </w:div>
    <w:div w:id="1927960657">
      <w:bodyDiv w:val="1"/>
      <w:marLeft w:val="0"/>
      <w:marRight w:val="0"/>
      <w:marTop w:val="0"/>
      <w:marBottom w:val="0"/>
      <w:divBdr>
        <w:top w:val="none" w:sz="0" w:space="0" w:color="auto"/>
        <w:left w:val="none" w:sz="0" w:space="0" w:color="auto"/>
        <w:bottom w:val="none" w:sz="0" w:space="0" w:color="auto"/>
        <w:right w:val="none" w:sz="0" w:space="0" w:color="auto"/>
      </w:divBdr>
    </w:div>
    <w:div w:id="1929000215">
      <w:bodyDiv w:val="1"/>
      <w:marLeft w:val="0"/>
      <w:marRight w:val="0"/>
      <w:marTop w:val="0"/>
      <w:marBottom w:val="0"/>
      <w:divBdr>
        <w:top w:val="none" w:sz="0" w:space="0" w:color="auto"/>
        <w:left w:val="none" w:sz="0" w:space="0" w:color="auto"/>
        <w:bottom w:val="none" w:sz="0" w:space="0" w:color="auto"/>
        <w:right w:val="none" w:sz="0" w:space="0" w:color="auto"/>
      </w:divBdr>
    </w:div>
    <w:div w:id="1944805408">
      <w:bodyDiv w:val="1"/>
      <w:marLeft w:val="0"/>
      <w:marRight w:val="0"/>
      <w:marTop w:val="0"/>
      <w:marBottom w:val="0"/>
      <w:divBdr>
        <w:top w:val="none" w:sz="0" w:space="0" w:color="auto"/>
        <w:left w:val="none" w:sz="0" w:space="0" w:color="auto"/>
        <w:bottom w:val="none" w:sz="0" w:space="0" w:color="auto"/>
        <w:right w:val="none" w:sz="0" w:space="0" w:color="auto"/>
      </w:divBdr>
    </w:div>
    <w:div w:id="1957524406">
      <w:bodyDiv w:val="1"/>
      <w:marLeft w:val="0"/>
      <w:marRight w:val="0"/>
      <w:marTop w:val="0"/>
      <w:marBottom w:val="0"/>
      <w:divBdr>
        <w:top w:val="none" w:sz="0" w:space="0" w:color="auto"/>
        <w:left w:val="none" w:sz="0" w:space="0" w:color="auto"/>
        <w:bottom w:val="none" w:sz="0" w:space="0" w:color="auto"/>
        <w:right w:val="none" w:sz="0" w:space="0" w:color="auto"/>
      </w:divBdr>
    </w:div>
    <w:div w:id="1964922310">
      <w:bodyDiv w:val="1"/>
      <w:marLeft w:val="0"/>
      <w:marRight w:val="0"/>
      <w:marTop w:val="0"/>
      <w:marBottom w:val="0"/>
      <w:divBdr>
        <w:top w:val="none" w:sz="0" w:space="0" w:color="auto"/>
        <w:left w:val="none" w:sz="0" w:space="0" w:color="auto"/>
        <w:bottom w:val="none" w:sz="0" w:space="0" w:color="auto"/>
        <w:right w:val="none" w:sz="0" w:space="0" w:color="auto"/>
      </w:divBdr>
    </w:div>
    <w:div w:id="1967925226">
      <w:bodyDiv w:val="1"/>
      <w:marLeft w:val="0"/>
      <w:marRight w:val="0"/>
      <w:marTop w:val="0"/>
      <w:marBottom w:val="0"/>
      <w:divBdr>
        <w:top w:val="none" w:sz="0" w:space="0" w:color="auto"/>
        <w:left w:val="none" w:sz="0" w:space="0" w:color="auto"/>
        <w:bottom w:val="none" w:sz="0" w:space="0" w:color="auto"/>
        <w:right w:val="none" w:sz="0" w:space="0" w:color="auto"/>
      </w:divBdr>
    </w:div>
    <w:div w:id="1971352440">
      <w:bodyDiv w:val="1"/>
      <w:marLeft w:val="0"/>
      <w:marRight w:val="0"/>
      <w:marTop w:val="0"/>
      <w:marBottom w:val="0"/>
      <w:divBdr>
        <w:top w:val="none" w:sz="0" w:space="0" w:color="auto"/>
        <w:left w:val="none" w:sz="0" w:space="0" w:color="auto"/>
        <w:bottom w:val="none" w:sz="0" w:space="0" w:color="auto"/>
        <w:right w:val="none" w:sz="0" w:space="0" w:color="auto"/>
      </w:divBdr>
    </w:div>
    <w:div w:id="1975716563">
      <w:bodyDiv w:val="1"/>
      <w:marLeft w:val="0"/>
      <w:marRight w:val="0"/>
      <w:marTop w:val="0"/>
      <w:marBottom w:val="0"/>
      <w:divBdr>
        <w:top w:val="none" w:sz="0" w:space="0" w:color="auto"/>
        <w:left w:val="none" w:sz="0" w:space="0" w:color="auto"/>
        <w:bottom w:val="none" w:sz="0" w:space="0" w:color="auto"/>
        <w:right w:val="none" w:sz="0" w:space="0" w:color="auto"/>
      </w:divBdr>
    </w:div>
    <w:div w:id="1977370727">
      <w:bodyDiv w:val="1"/>
      <w:marLeft w:val="0"/>
      <w:marRight w:val="0"/>
      <w:marTop w:val="0"/>
      <w:marBottom w:val="0"/>
      <w:divBdr>
        <w:top w:val="none" w:sz="0" w:space="0" w:color="auto"/>
        <w:left w:val="none" w:sz="0" w:space="0" w:color="auto"/>
        <w:bottom w:val="none" w:sz="0" w:space="0" w:color="auto"/>
        <w:right w:val="none" w:sz="0" w:space="0" w:color="auto"/>
      </w:divBdr>
    </w:div>
    <w:div w:id="1979912276">
      <w:bodyDiv w:val="1"/>
      <w:marLeft w:val="0"/>
      <w:marRight w:val="0"/>
      <w:marTop w:val="0"/>
      <w:marBottom w:val="0"/>
      <w:divBdr>
        <w:top w:val="none" w:sz="0" w:space="0" w:color="auto"/>
        <w:left w:val="none" w:sz="0" w:space="0" w:color="auto"/>
        <w:bottom w:val="none" w:sz="0" w:space="0" w:color="auto"/>
        <w:right w:val="none" w:sz="0" w:space="0" w:color="auto"/>
      </w:divBdr>
    </w:div>
    <w:div w:id="1998990232">
      <w:bodyDiv w:val="1"/>
      <w:marLeft w:val="0"/>
      <w:marRight w:val="0"/>
      <w:marTop w:val="0"/>
      <w:marBottom w:val="0"/>
      <w:divBdr>
        <w:top w:val="none" w:sz="0" w:space="0" w:color="auto"/>
        <w:left w:val="none" w:sz="0" w:space="0" w:color="auto"/>
        <w:bottom w:val="none" w:sz="0" w:space="0" w:color="auto"/>
        <w:right w:val="none" w:sz="0" w:space="0" w:color="auto"/>
      </w:divBdr>
    </w:div>
    <w:div w:id="2004577495">
      <w:bodyDiv w:val="1"/>
      <w:marLeft w:val="0"/>
      <w:marRight w:val="0"/>
      <w:marTop w:val="0"/>
      <w:marBottom w:val="0"/>
      <w:divBdr>
        <w:top w:val="none" w:sz="0" w:space="0" w:color="auto"/>
        <w:left w:val="none" w:sz="0" w:space="0" w:color="auto"/>
        <w:bottom w:val="none" w:sz="0" w:space="0" w:color="auto"/>
        <w:right w:val="none" w:sz="0" w:space="0" w:color="auto"/>
      </w:divBdr>
    </w:div>
    <w:div w:id="2019892612">
      <w:bodyDiv w:val="1"/>
      <w:marLeft w:val="0"/>
      <w:marRight w:val="0"/>
      <w:marTop w:val="0"/>
      <w:marBottom w:val="0"/>
      <w:divBdr>
        <w:top w:val="none" w:sz="0" w:space="0" w:color="auto"/>
        <w:left w:val="none" w:sz="0" w:space="0" w:color="auto"/>
        <w:bottom w:val="none" w:sz="0" w:space="0" w:color="auto"/>
        <w:right w:val="none" w:sz="0" w:space="0" w:color="auto"/>
      </w:divBdr>
    </w:div>
    <w:div w:id="2052220742">
      <w:bodyDiv w:val="1"/>
      <w:marLeft w:val="0"/>
      <w:marRight w:val="0"/>
      <w:marTop w:val="0"/>
      <w:marBottom w:val="0"/>
      <w:divBdr>
        <w:top w:val="none" w:sz="0" w:space="0" w:color="auto"/>
        <w:left w:val="none" w:sz="0" w:space="0" w:color="auto"/>
        <w:bottom w:val="none" w:sz="0" w:space="0" w:color="auto"/>
        <w:right w:val="none" w:sz="0" w:space="0" w:color="auto"/>
      </w:divBdr>
    </w:div>
    <w:div w:id="2071609680">
      <w:bodyDiv w:val="1"/>
      <w:marLeft w:val="0"/>
      <w:marRight w:val="0"/>
      <w:marTop w:val="0"/>
      <w:marBottom w:val="0"/>
      <w:divBdr>
        <w:top w:val="none" w:sz="0" w:space="0" w:color="auto"/>
        <w:left w:val="none" w:sz="0" w:space="0" w:color="auto"/>
        <w:bottom w:val="none" w:sz="0" w:space="0" w:color="auto"/>
        <w:right w:val="none" w:sz="0" w:space="0" w:color="auto"/>
      </w:divBdr>
    </w:div>
    <w:div w:id="2085100612">
      <w:bodyDiv w:val="1"/>
      <w:marLeft w:val="150"/>
      <w:marRight w:val="0"/>
      <w:marTop w:val="0"/>
      <w:marBottom w:val="0"/>
      <w:divBdr>
        <w:top w:val="none" w:sz="0" w:space="0" w:color="auto"/>
        <w:left w:val="none" w:sz="0" w:space="0" w:color="auto"/>
        <w:bottom w:val="none" w:sz="0" w:space="0" w:color="auto"/>
        <w:right w:val="none" w:sz="0" w:space="0" w:color="auto"/>
      </w:divBdr>
    </w:div>
    <w:div w:id="2101564755">
      <w:bodyDiv w:val="1"/>
      <w:marLeft w:val="0"/>
      <w:marRight w:val="0"/>
      <w:marTop w:val="0"/>
      <w:marBottom w:val="0"/>
      <w:divBdr>
        <w:top w:val="none" w:sz="0" w:space="0" w:color="auto"/>
        <w:left w:val="none" w:sz="0" w:space="0" w:color="auto"/>
        <w:bottom w:val="none" w:sz="0" w:space="0" w:color="auto"/>
        <w:right w:val="none" w:sz="0" w:space="0" w:color="auto"/>
      </w:divBdr>
    </w:div>
    <w:div w:id="2105956022">
      <w:bodyDiv w:val="1"/>
      <w:marLeft w:val="0"/>
      <w:marRight w:val="0"/>
      <w:marTop w:val="0"/>
      <w:marBottom w:val="0"/>
      <w:divBdr>
        <w:top w:val="none" w:sz="0" w:space="0" w:color="auto"/>
        <w:left w:val="none" w:sz="0" w:space="0" w:color="auto"/>
        <w:bottom w:val="none" w:sz="0" w:space="0" w:color="auto"/>
        <w:right w:val="none" w:sz="0" w:space="0" w:color="auto"/>
      </w:divBdr>
    </w:div>
    <w:div w:id="2107726135">
      <w:bodyDiv w:val="1"/>
      <w:marLeft w:val="0"/>
      <w:marRight w:val="0"/>
      <w:marTop w:val="0"/>
      <w:marBottom w:val="0"/>
      <w:divBdr>
        <w:top w:val="none" w:sz="0" w:space="0" w:color="auto"/>
        <w:left w:val="none" w:sz="0" w:space="0" w:color="auto"/>
        <w:bottom w:val="none" w:sz="0" w:space="0" w:color="auto"/>
        <w:right w:val="none" w:sz="0" w:space="0" w:color="auto"/>
      </w:divBdr>
    </w:div>
    <w:div w:id="2107845738">
      <w:bodyDiv w:val="1"/>
      <w:marLeft w:val="0"/>
      <w:marRight w:val="0"/>
      <w:marTop w:val="0"/>
      <w:marBottom w:val="0"/>
      <w:divBdr>
        <w:top w:val="none" w:sz="0" w:space="0" w:color="auto"/>
        <w:left w:val="none" w:sz="0" w:space="0" w:color="auto"/>
        <w:bottom w:val="none" w:sz="0" w:space="0" w:color="auto"/>
        <w:right w:val="none" w:sz="0" w:space="0" w:color="auto"/>
      </w:divBdr>
    </w:div>
    <w:div w:id="2137525930">
      <w:bodyDiv w:val="1"/>
      <w:marLeft w:val="0"/>
      <w:marRight w:val="0"/>
      <w:marTop w:val="0"/>
      <w:marBottom w:val="0"/>
      <w:divBdr>
        <w:top w:val="none" w:sz="0" w:space="0" w:color="auto"/>
        <w:left w:val="none" w:sz="0" w:space="0" w:color="auto"/>
        <w:bottom w:val="none" w:sz="0" w:space="0" w:color="auto"/>
        <w:right w:val="none" w:sz="0" w:space="0" w:color="auto"/>
      </w:divBdr>
    </w:div>
    <w:div w:id="214704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hyperlink" Target="http://www.innodata.com" TargetMode="External"/><Relationship Id="rId42" Type="http://schemas.openxmlformats.org/officeDocument/2006/relationships/image" Target="media/image15.emf"/><Relationship Id="rId47" Type="http://schemas.openxmlformats.org/officeDocument/2006/relationships/image" Target="media/image20.emf"/><Relationship Id="rId63" Type="http://schemas.openxmlformats.org/officeDocument/2006/relationships/image" Target="media/image36.emf"/><Relationship Id="rId68" Type="http://schemas.openxmlformats.org/officeDocument/2006/relationships/image" Target="media/image41.emf"/><Relationship Id="rId16" Type="http://schemas.openxmlformats.org/officeDocument/2006/relationships/webSettings" Target="webSettings.xml"/><Relationship Id="rId11" Type="http://schemas.openxmlformats.org/officeDocument/2006/relationships/customXml" Target="../customXml/item11.xml"/><Relationship Id="rId24" Type="http://schemas.openxmlformats.org/officeDocument/2006/relationships/image" Target="media/image2.png"/><Relationship Id="rId32" Type="http://schemas.openxmlformats.org/officeDocument/2006/relationships/image" Target="media/image8.emf"/><Relationship Id="rId37" Type="http://schemas.openxmlformats.org/officeDocument/2006/relationships/image" Target="media/image10.emf"/><Relationship Id="rId40" Type="http://schemas.openxmlformats.org/officeDocument/2006/relationships/image" Target="media/image13.emf"/><Relationship Id="rId45" Type="http://schemas.openxmlformats.org/officeDocument/2006/relationships/image" Target="media/image18.emf"/><Relationship Id="rId53" Type="http://schemas.openxmlformats.org/officeDocument/2006/relationships/image" Target="media/image26.emf"/><Relationship Id="rId58" Type="http://schemas.openxmlformats.org/officeDocument/2006/relationships/image" Target="media/image31.emf"/><Relationship Id="rId66" Type="http://schemas.openxmlformats.org/officeDocument/2006/relationships/image" Target="media/image39.emf"/><Relationship Id="rId74" Type="http://schemas.openxmlformats.org/officeDocument/2006/relationships/footer" Target="footer8.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34.emf"/><Relationship Id="rId19" Type="http://schemas.openxmlformats.org/officeDocument/2006/relationships/footer" Target="footer1.xml"/><Relationship Id="rId14" Type="http://schemas.openxmlformats.org/officeDocument/2006/relationships/styles" Target="styles.xml"/><Relationship Id="rId22" Type="http://schemas.openxmlformats.org/officeDocument/2006/relationships/hyperlink" Target="http://www.sec.gov" TargetMode="External"/><Relationship Id="rId27" Type="http://schemas.openxmlformats.org/officeDocument/2006/relationships/image" Target="media/image5.emf"/><Relationship Id="rId30" Type="http://schemas.openxmlformats.org/officeDocument/2006/relationships/footer" Target="footer4.xml"/><Relationship Id="rId35" Type="http://schemas.openxmlformats.org/officeDocument/2006/relationships/footer" Target="footer5.xml"/><Relationship Id="rId43" Type="http://schemas.openxmlformats.org/officeDocument/2006/relationships/image" Target="media/image16.emf"/><Relationship Id="rId48" Type="http://schemas.openxmlformats.org/officeDocument/2006/relationships/image" Target="media/image21.emf"/><Relationship Id="rId56" Type="http://schemas.openxmlformats.org/officeDocument/2006/relationships/image" Target="media/image29.emf"/><Relationship Id="rId64" Type="http://schemas.openxmlformats.org/officeDocument/2006/relationships/image" Target="media/image37.png"/><Relationship Id="rId69" Type="http://schemas.openxmlformats.org/officeDocument/2006/relationships/image" Target="media/image42.emf"/><Relationship Id="rId77"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image" Target="media/image24.emf"/><Relationship Id="rId72" Type="http://schemas.openxmlformats.org/officeDocument/2006/relationships/header" Target="header2.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image" Target="media/image3.emf"/><Relationship Id="rId33" Type="http://schemas.openxmlformats.org/officeDocument/2006/relationships/image" Target="media/image9.emf"/><Relationship Id="rId38" Type="http://schemas.openxmlformats.org/officeDocument/2006/relationships/image" Target="media/image11.emf"/><Relationship Id="rId46" Type="http://schemas.openxmlformats.org/officeDocument/2006/relationships/image" Target="media/image19.emf"/><Relationship Id="rId59" Type="http://schemas.openxmlformats.org/officeDocument/2006/relationships/image" Target="media/image32.emf"/><Relationship Id="rId67" Type="http://schemas.openxmlformats.org/officeDocument/2006/relationships/image" Target="media/image40.emf"/><Relationship Id="rId20" Type="http://schemas.openxmlformats.org/officeDocument/2006/relationships/footer" Target="footer2.xml"/><Relationship Id="rId41" Type="http://schemas.openxmlformats.org/officeDocument/2006/relationships/image" Target="media/image14.emf"/><Relationship Id="rId54" Type="http://schemas.openxmlformats.org/officeDocument/2006/relationships/image" Target="media/image27.emf"/><Relationship Id="rId62" Type="http://schemas.openxmlformats.org/officeDocument/2006/relationships/image" Target="media/image35.emf"/><Relationship Id="rId70" Type="http://schemas.openxmlformats.org/officeDocument/2006/relationships/image" Target="media/image43.emf"/><Relationship Id="rId75" Type="http://schemas.openxmlformats.org/officeDocument/2006/relationships/image" Target="media/image45.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settings" Target="settings.xml"/><Relationship Id="rId23" Type="http://schemas.openxmlformats.org/officeDocument/2006/relationships/image" Target="media/image1.emf"/><Relationship Id="rId28" Type="http://schemas.openxmlformats.org/officeDocument/2006/relationships/image" Target="media/image6.emf"/><Relationship Id="rId36" Type="http://schemas.openxmlformats.org/officeDocument/2006/relationships/footer" Target="footer6.xml"/><Relationship Id="rId49" Type="http://schemas.openxmlformats.org/officeDocument/2006/relationships/image" Target="media/image22.emf"/><Relationship Id="rId57" Type="http://schemas.openxmlformats.org/officeDocument/2006/relationships/image" Target="media/image30.emf"/><Relationship Id="rId10" Type="http://schemas.openxmlformats.org/officeDocument/2006/relationships/customXml" Target="../customXml/item10.xml"/><Relationship Id="rId31" Type="http://schemas.openxmlformats.org/officeDocument/2006/relationships/image" Target="media/image7.emf"/><Relationship Id="rId44" Type="http://schemas.openxmlformats.org/officeDocument/2006/relationships/image" Target="media/image17.emf"/><Relationship Id="rId52" Type="http://schemas.openxmlformats.org/officeDocument/2006/relationships/image" Target="media/image25.emf"/><Relationship Id="rId60" Type="http://schemas.openxmlformats.org/officeDocument/2006/relationships/image" Target="media/image33.emf"/><Relationship Id="rId65" Type="http://schemas.openxmlformats.org/officeDocument/2006/relationships/image" Target="media/image38.emf"/><Relationship Id="rId73" Type="http://schemas.openxmlformats.org/officeDocument/2006/relationships/footer" Target="footer7.xml"/><Relationship Id="rId78"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numbering" Target="numbering.xml"/><Relationship Id="rId18" Type="http://schemas.openxmlformats.org/officeDocument/2006/relationships/endnotes" Target="endnotes.xml"/><Relationship Id="rId39" Type="http://schemas.openxmlformats.org/officeDocument/2006/relationships/image" Target="media/image12.emf"/><Relationship Id="rId34" Type="http://schemas.openxmlformats.org/officeDocument/2006/relationships/header" Target="header1.xml"/><Relationship Id="rId50" Type="http://schemas.openxmlformats.org/officeDocument/2006/relationships/image" Target="media/image23.emf"/><Relationship Id="rId55" Type="http://schemas.openxmlformats.org/officeDocument/2006/relationships/image" Target="media/image28.emf"/><Relationship Id="rId76" Type="http://schemas.openxmlformats.org/officeDocument/2006/relationships/hyperlink" Target="https://www.sec.gov/Archives/edgar/data/903651/000110465921081849/tm2119719d1_ex10-2.htm" TargetMode="External"/><Relationship Id="rId7" Type="http://schemas.openxmlformats.org/officeDocument/2006/relationships/customXml" Target="../customXml/item7.xml"/><Relationship Id="rId71" Type="http://schemas.openxmlformats.org/officeDocument/2006/relationships/image" Target="media/image44.emf"/><Relationship Id="rId2" Type="http://schemas.openxmlformats.org/officeDocument/2006/relationships/customXml" Target="../customXml/item2.xml"/><Relationship Id="rId2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gilitypr.com/wp-content/uploads/2023/02/G2-Compari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05B1-6F1B-4127-984F-2C1B4DC6B915}">
  <ds:schemaRefs>
    <ds:schemaRef ds:uri="http://schemas.openxmlformats.org/officeDocument/2006/bibliography"/>
  </ds:schemaRefs>
</ds:datastoreItem>
</file>

<file path=customXml/itemProps10.xml><?xml version="1.0" encoding="utf-8"?>
<ds:datastoreItem xmlns:ds="http://schemas.openxmlformats.org/officeDocument/2006/customXml" ds:itemID="{D74C9BF0-1D88-4FB9-BE24-B859E0DD2450}">
  <ds:schemaRefs>
    <ds:schemaRef ds:uri="http://schemas.openxmlformats.org/officeDocument/2006/bibliography"/>
  </ds:schemaRefs>
</ds:datastoreItem>
</file>

<file path=customXml/itemProps11.xml><?xml version="1.0" encoding="utf-8"?>
<ds:datastoreItem xmlns:ds="http://schemas.openxmlformats.org/officeDocument/2006/customXml" ds:itemID="{30D10EBA-02EA-4BD9-9C8F-0E67B199D9B5}">
  <ds:schemaRefs>
    <ds:schemaRef ds:uri="http://schemas.openxmlformats.org/officeDocument/2006/bibliography"/>
  </ds:schemaRefs>
</ds:datastoreItem>
</file>

<file path=customXml/itemProps12.xml><?xml version="1.0" encoding="utf-8"?>
<ds:datastoreItem xmlns:ds="http://schemas.openxmlformats.org/officeDocument/2006/customXml" ds:itemID="{8030B593-EE54-4B6C-B699-1837C354ED05}">
  <ds:schemaRefs>
    <ds:schemaRef ds:uri="http://schemas.openxmlformats.org/officeDocument/2006/bibliography"/>
  </ds:schemaRefs>
</ds:datastoreItem>
</file>

<file path=customXml/itemProps2.xml><?xml version="1.0" encoding="utf-8"?>
<ds:datastoreItem xmlns:ds="http://schemas.openxmlformats.org/officeDocument/2006/customXml" ds:itemID="{3E5F3CB0-AFB1-4334-BCA3-080A47FA62C4}">
  <ds:schemaRefs>
    <ds:schemaRef ds:uri="http://schemas.openxmlformats.org/officeDocument/2006/bibliography"/>
  </ds:schemaRefs>
</ds:datastoreItem>
</file>

<file path=customXml/itemProps3.xml><?xml version="1.0" encoding="utf-8"?>
<ds:datastoreItem xmlns:ds="http://schemas.openxmlformats.org/officeDocument/2006/customXml" ds:itemID="{5AC77C11-0EEF-449E-BA1F-E49BFE95BD63}">
  <ds:schemaRefs>
    <ds:schemaRef ds:uri="http://schemas.openxmlformats.org/officeDocument/2006/bibliography"/>
  </ds:schemaRefs>
</ds:datastoreItem>
</file>

<file path=customXml/itemProps4.xml><?xml version="1.0" encoding="utf-8"?>
<ds:datastoreItem xmlns:ds="http://schemas.openxmlformats.org/officeDocument/2006/customXml" ds:itemID="{4DB331B1-E7D6-4B1A-8F16-7F06FF760D0B}">
  <ds:schemaRefs>
    <ds:schemaRef ds:uri="http://schemas.openxmlformats.org/officeDocument/2006/bibliography"/>
  </ds:schemaRefs>
</ds:datastoreItem>
</file>

<file path=customXml/itemProps5.xml><?xml version="1.0" encoding="utf-8"?>
<ds:datastoreItem xmlns:ds="http://schemas.openxmlformats.org/officeDocument/2006/customXml" ds:itemID="{1CA1C851-6C48-41FA-A137-B1F8AB9DBB08}">
  <ds:schemaRefs>
    <ds:schemaRef ds:uri="http://schemas.openxmlformats.org/officeDocument/2006/bibliography"/>
  </ds:schemaRefs>
</ds:datastoreItem>
</file>

<file path=customXml/itemProps6.xml><?xml version="1.0" encoding="utf-8"?>
<ds:datastoreItem xmlns:ds="http://schemas.openxmlformats.org/officeDocument/2006/customXml" ds:itemID="{CF1FDC32-C3CB-4C29-ACD2-F88D62F48F1E}">
  <ds:schemaRefs>
    <ds:schemaRef ds:uri="http://schemas.openxmlformats.org/officeDocument/2006/bibliography"/>
  </ds:schemaRefs>
</ds:datastoreItem>
</file>

<file path=customXml/itemProps7.xml><?xml version="1.0" encoding="utf-8"?>
<ds:datastoreItem xmlns:ds="http://schemas.openxmlformats.org/officeDocument/2006/customXml" ds:itemID="{AD20F1A5-7E17-4C86-B6DA-6D9350304E30}">
  <ds:schemaRefs>
    <ds:schemaRef ds:uri="http://schemas.openxmlformats.org/officeDocument/2006/bibliography"/>
  </ds:schemaRefs>
</ds:datastoreItem>
</file>

<file path=customXml/itemProps8.xml><?xml version="1.0" encoding="utf-8"?>
<ds:datastoreItem xmlns:ds="http://schemas.openxmlformats.org/officeDocument/2006/customXml" ds:itemID="{B2EB4CD5-3964-40D4-9DFF-3D3DF335740D}">
  <ds:schemaRefs>
    <ds:schemaRef ds:uri="http://schemas.openxmlformats.org/officeDocument/2006/bibliography"/>
  </ds:schemaRefs>
</ds:datastoreItem>
</file>

<file path=customXml/itemProps9.xml><?xml version="1.0" encoding="utf-8"?>
<ds:datastoreItem xmlns:ds="http://schemas.openxmlformats.org/officeDocument/2006/customXml" ds:itemID="{3FC3ADB0-F9AB-48E0-89EE-4998B2AB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35755</Words>
  <Characters>203809</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Merrill</Company>
  <LinksUpToDate>false</LinksUpToDate>
  <CharactersWithSpaces>239086</CharactersWithSpaces>
  <SharedDoc>false</SharedDoc>
  <HLinks>
    <vt:vector size="30" baseType="variant">
      <vt:variant>
        <vt:i4>2883591</vt:i4>
      </vt:variant>
      <vt:variant>
        <vt:i4>14</vt:i4>
      </vt:variant>
      <vt:variant>
        <vt:i4>0</vt:i4>
      </vt:variant>
      <vt:variant>
        <vt:i4>5</vt:i4>
      </vt:variant>
      <vt:variant>
        <vt:lpwstr>https://www.sec.gov/Archives/edgar/data/903651/000110465921081849/tm2119719d1_ex10-2.htm</vt:lpwstr>
      </vt:variant>
      <vt:variant>
        <vt:lpwstr/>
      </vt:variant>
      <vt:variant>
        <vt:i4>2752628</vt:i4>
      </vt:variant>
      <vt:variant>
        <vt:i4>3</vt:i4>
      </vt:variant>
      <vt:variant>
        <vt:i4>0</vt:i4>
      </vt:variant>
      <vt:variant>
        <vt:i4>5</vt:i4>
      </vt:variant>
      <vt:variant>
        <vt:lpwstr>http://www.sec.gov/</vt:lpwstr>
      </vt:variant>
      <vt:variant>
        <vt:lpwstr/>
      </vt:variant>
      <vt:variant>
        <vt:i4>5374047</vt:i4>
      </vt:variant>
      <vt:variant>
        <vt:i4>0</vt:i4>
      </vt:variant>
      <vt:variant>
        <vt:i4>0</vt:i4>
      </vt:variant>
      <vt:variant>
        <vt:i4>5</vt:i4>
      </vt:variant>
      <vt:variant>
        <vt:lpwstr>http://www.innodata.com/</vt:lpwstr>
      </vt:variant>
      <vt:variant>
        <vt:lpwstr/>
      </vt:variant>
      <vt:variant>
        <vt:i4>8323197</vt:i4>
      </vt:variant>
      <vt:variant>
        <vt:i4>0</vt:i4>
      </vt:variant>
      <vt:variant>
        <vt:i4>0</vt:i4>
      </vt:variant>
      <vt:variant>
        <vt:i4>5</vt:i4>
      </vt:variant>
      <vt:variant>
        <vt:lpwstr>https://www.agilitypr.com/wp-content/uploads/2023/02/G2-Comparison.pdf</vt:lpwstr>
      </vt:variant>
      <vt:variant>
        <vt:lpwstr/>
      </vt:variant>
      <vt:variant>
        <vt:i4>65610</vt:i4>
      </vt:variant>
      <vt:variant>
        <vt:i4>0</vt:i4>
      </vt:variant>
      <vt:variant>
        <vt:i4>0</vt:i4>
      </vt:variant>
      <vt:variant>
        <vt:i4>5</vt:i4>
      </vt:variant>
      <vt:variant>
        <vt:lpwstr>https://www.accesswire.com/viewarticle.aspx?id=723683&amp;token=itppc76p30zu74vgktax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jalexan</dc:creator>
  <cp:keywords/>
  <dc:description/>
  <cp:lastModifiedBy>Espineli, Marissa</cp:lastModifiedBy>
  <cp:revision>3</cp:revision>
  <cp:lastPrinted>2023-02-23T15:00:00Z</cp:lastPrinted>
  <dcterms:created xsi:type="dcterms:W3CDTF">2023-02-27T18:33:00Z</dcterms:created>
  <dcterms:modified xsi:type="dcterms:W3CDTF">2023-02-27T18:33:00Z</dcterms:modified>
</cp:coreProperties>
</file>